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D" w:rsidRDefault="00CB292D" w:rsidP="00CB292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51634-2000 Масла моторные автотракторные. Общие технические требования (с Изменениями N 1, 2)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51634-2000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Б21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CB292D" w:rsidRDefault="00CB292D" w:rsidP="00CB292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РОССИЙСКОЙ ФЕДЕРАЦИИ</w:t>
      </w:r>
      <w:r>
        <w:rPr>
          <w:color w:val="3C3C3C"/>
          <w:sz w:val="41"/>
          <w:szCs w:val="41"/>
        </w:rPr>
        <w:br/>
        <w:t> 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</w:t>
      </w:r>
    </w:p>
    <w:p w:rsidR="00CB292D" w:rsidRDefault="00CB292D" w:rsidP="00CB292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МАСЛА МОТОРНЫЕ АВТОТРАКТОРНЫЕ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</w:t>
      </w:r>
    </w:p>
    <w:p w:rsidR="00CB292D" w:rsidRDefault="00CB292D" w:rsidP="00CB292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технические требования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</w:t>
      </w:r>
    </w:p>
    <w:p w:rsidR="00CB292D" w:rsidRPr="00CB292D" w:rsidRDefault="00CB292D" w:rsidP="00CB292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CB292D">
        <w:rPr>
          <w:color w:val="3C3C3C"/>
          <w:sz w:val="41"/>
          <w:szCs w:val="41"/>
          <w:lang w:val="en-US"/>
        </w:rPr>
        <w:t xml:space="preserve">Motor oils for </w:t>
      </w:r>
      <w:proofErr w:type="spellStart"/>
      <w:r w:rsidRPr="00CB292D">
        <w:rPr>
          <w:color w:val="3C3C3C"/>
          <w:sz w:val="41"/>
          <w:szCs w:val="41"/>
          <w:lang w:val="en-US"/>
        </w:rPr>
        <w:t>autotractors</w:t>
      </w:r>
      <w:proofErr w:type="spellEnd"/>
      <w:r w:rsidRPr="00CB292D">
        <w:rPr>
          <w:color w:val="3C3C3C"/>
          <w:sz w:val="41"/>
          <w:szCs w:val="41"/>
          <w:lang w:val="en-US"/>
        </w:rPr>
        <w:t>. General technical requirements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CB292D">
        <w:rPr>
          <w:color w:val="2D2D2D"/>
          <w:sz w:val="15"/>
          <w:szCs w:val="15"/>
        </w:rPr>
        <w:br/>
      </w:r>
      <w:r w:rsidRPr="00CB292D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75.100</w:t>
      </w:r>
      <w:r>
        <w:rPr>
          <w:color w:val="2D2D2D"/>
          <w:sz w:val="15"/>
          <w:szCs w:val="15"/>
        </w:rPr>
        <w:br/>
        <w:t>75.080</w:t>
      </w:r>
      <w:r>
        <w:rPr>
          <w:color w:val="2D2D2D"/>
          <w:sz w:val="15"/>
          <w:szCs w:val="15"/>
        </w:rPr>
        <w:br/>
        <w:t>ОКП 02 5313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2001-10-01 </w:t>
      </w:r>
    </w:p>
    <w:p w:rsidR="00CB292D" w:rsidRDefault="00CB292D" w:rsidP="00CB292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Всероссийским научно-исследовательским институтом по переработке нефти (ВНИИНП), Техническим комитетом по стандартизации ТК 31 "Нефтяные топлива и смазочные материалы"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Департаментом по нефтепереработке Минтопэнерго РФ</w:t>
      </w:r>
      <w:r>
        <w:rPr>
          <w:color w:val="2D2D2D"/>
          <w:sz w:val="15"/>
          <w:szCs w:val="15"/>
        </w:rPr>
        <w:br/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И ВВЕДЕН В ДЕЙСТВИЕ Постановлением Госстандарта России от 24 июля 2000 г. N 197-ст</w:t>
      </w:r>
      <w:r>
        <w:rPr>
          <w:color w:val="2D2D2D"/>
          <w:sz w:val="15"/>
          <w:szCs w:val="15"/>
        </w:rPr>
        <w:br/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 ИЗДАНИЕ с </w:t>
      </w:r>
      <w:hyperlink r:id="rId7" w:history="1">
        <w:r>
          <w:rPr>
            <w:rStyle w:val="a7"/>
            <w:color w:val="00466E"/>
            <w:sz w:val="15"/>
            <w:szCs w:val="15"/>
          </w:rPr>
          <w:t>Изменением N 1</w:t>
        </w:r>
      </w:hyperlink>
      <w:r>
        <w:rPr>
          <w:color w:val="2D2D2D"/>
          <w:sz w:val="15"/>
          <w:szCs w:val="15"/>
        </w:rPr>
        <w:t>, принятым в январе 2002 г. (ИУС 3-2002)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ВНЕСЕНО </w:t>
      </w:r>
      <w:hyperlink r:id="rId8" w:history="1">
        <w:r>
          <w:rPr>
            <w:rStyle w:val="a7"/>
            <w:color w:val="00466E"/>
            <w:sz w:val="15"/>
            <w:szCs w:val="15"/>
          </w:rPr>
          <w:t>Изменение N 2</w:t>
        </w:r>
      </w:hyperlink>
      <w:r>
        <w:rPr>
          <w:color w:val="2D2D2D"/>
          <w:sz w:val="15"/>
          <w:szCs w:val="15"/>
        </w:rPr>
        <w:t xml:space="preserve">, утвержденное и введенное в действие на территории РФ с 01.09.2010 Приказом </w:t>
      </w:r>
      <w:proofErr w:type="spellStart"/>
      <w:r>
        <w:rPr>
          <w:color w:val="2D2D2D"/>
          <w:sz w:val="15"/>
          <w:szCs w:val="15"/>
        </w:rPr>
        <w:t>Ростехрегулирования</w:t>
      </w:r>
      <w:proofErr w:type="spellEnd"/>
      <w:r>
        <w:rPr>
          <w:color w:val="2D2D2D"/>
          <w:sz w:val="15"/>
          <w:szCs w:val="15"/>
        </w:rPr>
        <w:t xml:space="preserve"> от 06.05.2010 N 76-ст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2 внесено изготовителем базы данных по тексту ИУС N 7, 2010 год</w:t>
      </w:r>
      <w:r>
        <w:rPr>
          <w:color w:val="2D2D2D"/>
          <w:sz w:val="15"/>
          <w:szCs w:val="15"/>
        </w:rPr>
        <w:br/>
      </w:r>
    </w:p>
    <w:p w:rsidR="00CB292D" w:rsidRDefault="00CB292D" w:rsidP="00CB292D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t> 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Настоящий стандарт распространяется на группу однородной продукции - автотракторные моторные масла (далее - моторные масла) и устанавливает показатели качества, характеризующие безопасность продукции и подлежащие обязательному включению во все виды документации, по которой изготовляют моторные масла.</w:t>
      </w:r>
      <w:r>
        <w:rPr>
          <w:color w:val="2D2D2D"/>
          <w:sz w:val="15"/>
          <w:szCs w:val="15"/>
        </w:rPr>
        <w:br/>
      </w:r>
    </w:p>
    <w:p w:rsidR="00CB292D" w:rsidRDefault="00CB292D" w:rsidP="00CB292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2 Нормативные ссылки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hyperlink r:id="rId9" w:history="1">
        <w:r>
          <w:rPr>
            <w:rStyle w:val="a7"/>
            <w:color w:val="00466E"/>
            <w:sz w:val="15"/>
            <w:szCs w:val="15"/>
          </w:rPr>
          <w:t>ГОСТ 33-2000</w:t>
        </w:r>
      </w:hyperlink>
      <w:r>
        <w:rPr>
          <w:color w:val="2D2D2D"/>
          <w:sz w:val="15"/>
          <w:szCs w:val="15"/>
        </w:rPr>
        <w:t> (ИСО 3104-94) Нефтепродукты. Прозрачные и непрозрачные жидкости. Определение кинематической вязкости и расчет динамической вязкости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hyperlink r:id="rId10" w:history="1">
        <w:r>
          <w:rPr>
            <w:rStyle w:val="a7"/>
            <w:color w:val="00466E"/>
            <w:sz w:val="15"/>
            <w:szCs w:val="15"/>
          </w:rPr>
          <w:t>ГОСТ 4333-87</w:t>
        </w:r>
      </w:hyperlink>
      <w:r>
        <w:rPr>
          <w:color w:val="2D2D2D"/>
          <w:sz w:val="15"/>
          <w:szCs w:val="15"/>
        </w:rPr>
        <w:t> Нефтепродукты. Метод определения температур вспышки и воспламенения в открытом тигле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hyperlink r:id="rId11" w:history="1">
        <w:r>
          <w:rPr>
            <w:rStyle w:val="a7"/>
            <w:color w:val="00466E"/>
            <w:sz w:val="15"/>
            <w:szCs w:val="15"/>
          </w:rPr>
          <w:t>ГОСТ 9827-75</w:t>
        </w:r>
      </w:hyperlink>
      <w:r>
        <w:rPr>
          <w:color w:val="2D2D2D"/>
          <w:sz w:val="15"/>
          <w:szCs w:val="15"/>
        </w:rPr>
        <w:t> Присадки и масла с присадками. Метод определения содержания фосфора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hyperlink r:id="rId12" w:history="1">
        <w:r>
          <w:rPr>
            <w:rStyle w:val="a7"/>
            <w:color w:val="00466E"/>
            <w:sz w:val="15"/>
            <w:szCs w:val="15"/>
          </w:rPr>
          <w:t>ГОСТ 11362-96</w:t>
        </w:r>
      </w:hyperlink>
      <w:r>
        <w:rPr>
          <w:color w:val="2D2D2D"/>
          <w:sz w:val="15"/>
          <w:szCs w:val="15"/>
        </w:rPr>
        <w:t> (ИСО 6619-88) Нефтепродукты и смазочные материалы. Метод потенциометрического титрования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hyperlink r:id="rId13" w:history="1">
        <w:r>
          <w:rPr>
            <w:rStyle w:val="a7"/>
            <w:color w:val="00466E"/>
            <w:sz w:val="15"/>
            <w:szCs w:val="15"/>
          </w:rPr>
          <w:t>ГОСТ 12417-94</w:t>
        </w:r>
      </w:hyperlink>
      <w:r>
        <w:rPr>
          <w:color w:val="2D2D2D"/>
          <w:sz w:val="15"/>
          <w:szCs w:val="15"/>
        </w:rPr>
        <w:t> (ИСО 3987-80) Нефтепродукты. Метод определения сульфатной золы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hyperlink r:id="rId14" w:history="1">
        <w:r>
          <w:rPr>
            <w:rStyle w:val="a7"/>
            <w:color w:val="00466E"/>
            <w:sz w:val="15"/>
            <w:szCs w:val="15"/>
          </w:rPr>
          <w:t xml:space="preserve">ГОСТ </w:t>
        </w:r>
        <w:proofErr w:type="gramStart"/>
        <w:r>
          <w:rPr>
            <w:rStyle w:val="a7"/>
            <w:color w:val="00466E"/>
            <w:sz w:val="15"/>
            <w:szCs w:val="15"/>
          </w:rPr>
          <w:t>Р</w:t>
        </w:r>
        <w:proofErr w:type="gramEnd"/>
        <w:r>
          <w:rPr>
            <w:rStyle w:val="a7"/>
            <w:color w:val="00466E"/>
            <w:sz w:val="15"/>
            <w:szCs w:val="15"/>
          </w:rPr>
          <w:t xml:space="preserve"> 52257-2004</w:t>
        </w:r>
      </w:hyperlink>
      <w:r>
        <w:rPr>
          <w:color w:val="2D2D2D"/>
          <w:sz w:val="15"/>
          <w:szCs w:val="15"/>
        </w:rPr>
        <w:t xml:space="preserve"> Масла моторные. </w:t>
      </w:r>
      <w:proofErr w:type="gramStart"/>
      <w:r>
        <w:rPr>
          <w:color w:val="2D2D2D"/>
          <w:sz w:val="15"/>
          <w:szCs w:val="15"/>
        </w:rPr>
        <w:t>Метод определения текучести и кажущейся вязкости при низкой температуре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 </w:t>
      </w:r>
      <w:proofErr w:type="spellStart"/>
      <w:r>
        <w:rPr>
          <w:color w:val="2D2D2D"/>
          <w:sz w:val="15"/>
          <w:szCs w:val="15"/>
        </w:rPr>
        <w:fldChar w:fldCharType="begin"/>
      </w:r>
      <w:r>
        <w:rPr>
          <w:color w:val="2D2D2D"/>
          <w:sz w:val="15"/>
          <w:szCs w:val="15"/>
        </w:rPr>
        <w:instrText xml:space="preserve"> HYPERLINK "http://docs.cntd.ru/document/1200078980" </w:instrText>
      </w:r>
      <w:r>
        <w:rPr>
          <w:color w:val="2D2D2D"/>
          <w:sz w:val="15"/>
          <w:szCs w:val="15"/>
        </w:rPr>
        <w:fldChar w:fldCharType="separate"/>
      </w:r>
      <w:r>
        <w:rPr>
          <w:rStyle w:val="a7"/>
          <w:color w:val="00466E"/>
          <w:sz w:val="15"/>
          <w:szCs w:val="15"/>
        </w:rPr>
        <w:t>Изм</w:t>
      </w:r>
      <w:proofErr w:type="spellEnd"/>
      <w:r>
        <w:rPr>
          <w:rStyle w:val="a7"/>
          <w:color w:val="00466E"/>
          <w:sz w:val="15"/>
          <w:szCs w:val="15"/>
        </w:rPr>
        <w:t>.</w:t>
      </w:r>
      <w:proofErr w:type="gramEnd"/>
      <w:r>
        <w:rPr>
          <w:rStyle w:val="a7"/>
          <w:color w:val="00466E"/>
          <w:sz w:val="15"/>
          <w:szCs w:val="15"/>
        </w:rPr>
        <w:t xml:space="preserve"> </w:t>
      </w:r>
      <w:proofErr w:type="gramStart"/>
      <w:r>
        <w:rPr>
          <w:rStyle w:val="a7"/>
          <w:color w:val="00466E"/>
          <w:sz w:val="15"/>
          <w:szCs w:val="15"/>
        </w:rPr>
        <w:t>N 2</w:t>
      </w:r>
      <w:r>
        <w:rPr>
          <w:color w:val="2D2D2D"/>
          <w:sz w:val="15"/>
          <w:szCs w:val="15"/>
        </w:rPr>
        <w:fldChar w:fldCharType="end"/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proofErr w:type="gramEnd"/>
    </w:p>
    <w:p w:rsidR="00CB292D" w:rsidRDefault="00CB292D" w:rsidP="00CB292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Показатели качества, характеризующие безопасность моторных масел, приведены в таблице. Нормы по указанным показателям устанавливают в документации на моторные масла конкретных марок.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63"/>
        <w:gridCol w:w="2303"/>
        <w:gridCol w:w="2123"/>
      </w:tblGrid>
      <w:tr w:rsidR="00CB292D" w:rsidTr="00CB292D">
        <w:trPr>
          <w:trHeight w:val="15"/>
        </w:trPr>
        <w:tc>
          <w:tcPr>
            <w:tcW w:w="6468" w:type="dxa"/>
            <w:hideMark/>
          </w:tcPr>
          <w:p w:rsidR="00CB292D" w:rsidRDefault="00CB292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B292D" w:rsidRDefault="00CB292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B292D" w:rsidRDefault="00CB292D">
            <w:pPr>
              <w:rPr>
                <w:sz w:val="2"/>
                <w:szCs w:val="24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CB292D" w:rsidTr="00CB292D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Кинематическая вязкость, мм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ГОСТ Р 51634-2000 Масла моторные автотракторные. Общие технические требован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для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класса вязкости: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Р 51634-2000 Масла моторные автотракторные. Общие технические требован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 при плюс 100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3,8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hyperlink r:id="rId15" w:history="1">
              <w:r>
                <w:rPr>
                  <w:rStyle w:val="a7"/>
                  <w:color w:val="00466E"/>
                  <w:sz w:val="15"/>
                  <w:szCs w:val="15"/>
                </w:rPr>
                <w:t>ГОСТ 33</w:t>
              </w:r>
            </w:hyperlink>
            <w:r>
              <w:rPr>
                <w:color w:val="2D2D2D"/>
                <w:sz w:val="15"/>
                <w:szCs w:val="15"/>
              </w:rPr>
              <w:br/>
              <w:t>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Б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[1]</w:t>
            </w: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минус 18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1250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Р 51634-2000 Масла моторные автотракторные. Общие технические требован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 при плюс 100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4,1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минус 18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2600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Р 51634-2000 Масла моторные автотракторные. Общие технические требован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 при плюс 100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5,6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минус 18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6000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Р 51634-2000 Масла моторные автотракторные. Общие технические требован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 при плюс 100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5,6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минус 18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10400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при 100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5,6 до 7,0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при 100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7,0 " 9,3 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при 100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9,3 " 11,5 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 при 100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11,5 " 12,5 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 при 100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12,5 " 14,5 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при 100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14,5 " 16,3 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 Кажущаяся (динамическая) вязкость, определенная на имитаторе холодной прокрутки (СС</w:t>
            </w:r>
            <w:proofErr w:type="gramStart"/>
            <w:r>
              <w:rPr>
                <w:color w:val="2D2D2D"/>
                <w:sz w:val="15"/>
                <w:szCs w:val="15"/>
              </w:rPr>
              <w:t>S</w:t>
            </w:r>
            <w:proofErr w:type="gramEnd"/>
            <w:r>
              <w:rPr>
                <w:color w:val="2D2D2D"/>
                <w:sz w:val="15"/>
                <w:szCs w:val="15"/>
              </w:rPr>
              <w:t>), мПа·с (</w:t>
            </w:r>
            <w:proofErr w:type="spellStart"/>
            <w:r>
              <w:rPr>
                <w:color w:val="2D2D2D"/>
                <w:sz w:val="15"/>
                <w:szCs w:val="15"/>
              </w:rPr>
              <w:t>сП</w:t>
            </w:r>
            <w:proofErr w:type="spellEnd"/>
            <w:r>
              <w:rPr>
                <w:color w:val="2D2D2D"/>
                <w:sz w:val="15"/>
                <w:szCs w:val="15"/>
              </w:rPr>
              <w:t>), не более, для классов вязкости: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Б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[5]</w:t>
            </w: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0W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5W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10W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15W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20W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25W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1б Кажущаяся (динамическая) вязкость, определенная на </w:t>
            </w:r>
            <w:proofErr w:type="spellStart"/>
            <w:r>
              <w:rPr>
                <w:color w:val="2D2D2D"/>
                <w:sz w:val="15"/>
                <w:szCs w:val="15"/>
              </w:rPr>
              <w:t>минироторном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вискозиметре (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RV), мПа·с (</w:t>
            </w:r>
            <w:proofErr w:type="spellStart"/>
            <w:r>
              <w:rPr>
                <w:color w:val="2D2D2D"/>
                <w:sz w:val="15"/>
                <w:szCs w:val="15"/>
              </w:rPr>
              <w:t>сП</w:t>
            </w:r>
            <w:proofErr w:type="spellEnd"/>
            <w:r>
              <w:rPr>
                <w:color w:val="2D2D2D"/>
                <w:sz w:val="15"/>
                <w:szCs w:val="15"/>
              </w:rPr>
              <w:t>), не более, для классов вязкости: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hyperlink r:id="rId16" w:history="1">
              <w:r>
                <w:rPr>
                  <w:rStyle w:val="a7"/>
                  <w:color w:val="00466E"/>
                  <w:sz w:val="15"/>
                  <w:szCs w:val="15"/>
                </w:rPr>
                <w:t>ГОСТ Р 52257</w:t>
              </w:r>
            </w:hyperlink>
            <w:r>
              <w:rPr>
                <w:color w:val="2D2D2D"/>
                <w:sz w:val="15"/>
                <w:szCs w:val="15"/>
              </w:rPr>
              <w:t> или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Б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[4]</w:t>
            </w:r>
          </w:p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0W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5W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35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10W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15W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20W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25W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минус 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Щелочное число, мг КОН на 1 г масла, не менее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 соответствии с нормой, </w:t>
            </w:r>
            <w:r>
              <w:rPr>
                <w:color w:val="2D2D2D"/>
                <w:sz w:val="15"/>
                <w:szCs w:val="15"/>
              </w:rPr>
              <w:lastRenderedPageBreak/>
              <w:t>установленной в документации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По </w:t>
            </w:r>
            <w:hyperlink r:id="rId17" w:history="1">
              <w:r>
                <w:rPr>
                  <w:rStyle w:val="a7"/>
                  <w:color w:val="00466E"/>
                  <w:sz w:val="15"/>
                  <w:szCs w:val="15"/>
                </w:rPr>
                <w:t>ГОСТ 11362</w:t>
              </w:r>
            </w:hyperlink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Б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[6]</w:t>
            </w: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 Массовая доля фосфора,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hyperlink r:id="rId18" w:history="1">
              <w:r>
                <w:rPr>
                  <w:rStyle w:val="a7"/>
                  <w:color w:val="00466E"/>
                  <w:sz w:val="15"/>
                  <w:szCs w:val="15"/>
                </w:rPr>
                <w:t>ГОСТ 9827</w:t>
              </w:r>
            </w:hyperlink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Сульфатная зольность, %, не более, масел для двигателей: 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hyperlink r:id="rId19" w:history="1">
              <w:r>
                <w:rPr>
                  <w:rStyle w:val="a7"/>
                  <w:color w:val="00466E"/>
                  <w:sz w:val="15"/>
                  <w:szCs w:val="15"/>
                </w:rPr>
                <w:t>ГОСТ 12417</w:t>
              </w:r>
            </w:hyperlink>
            <w:r>
              <w:rPr>
                <w:color w:val="2D2D2D"/>
                <w:sz w:val="15"/>
                <w:szCs w:val="15"/>
              </w:rPr>
              <w:br/>
              <w:t>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Б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[2]</w:t>
            </w: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бензиновых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rPr>
                <w:sz w:val="24"/>
                <w:szCs w:val="24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дизелей легковых автомобилей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дизелей автобусов, грузовых автомобилей и </w:t>
            </w:r>
            <w:proofErr w:type="spellStart"/>
            <w:r>
              <w:rPr>
                <w:color w:val="2D2D2D"/>
                <w:sz w:val="15"/>
                <w:szCs w:val="15"/>
              </w:rPr>
              <w:t>внедорожной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техники*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Температура вспышки, определяемая в открытом тигле,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, не ниже, </w:t>
            </w:r>
            <w:proofErr w:type="gramStart"/>
            <w:r>
              <w:rPr>
                <w:color w:val="2D2D2D"/>
                <w:sz w:val="15"/>
                <w:szCs w:val="15"/>
              </w:rPr>
              <w:t>для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класса вязкости: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hyperlink r:id="rId20" w:history="1">
              <w:r>
                <w:rPr>
                  <w:rStyle w:val="a7"/>
                  <w:color w:val="00466E"/>
                  <w:sz w:val="15"/>
                  <w:szCs w:val="15"/>
                </w:rPr>
                <w:t>ГОСТ 4333</w:t>
              </w:r>
            </w:hyperlink>
            <w:r>
              <w:rPr>
                <w:color w:val="2D2D2D"/>
                <w:sz w:val="15"/>
                <w:szCs w:val="15"/>
              </w:rPr>
              <w:br/>
              <w:t>и приложению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Б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[3]</w:t>
            </w: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Р 51634-2000 Масла моторные автотракторные. Общие технические требован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4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Р 51634-2000 Масла моторные автотракторные. Общие технические требован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5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Р 51634-2000 Масла моторные автотракторные. Общие технические требован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6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Р 51634-2000 Масла моторные автотракторные. Общие технические требован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 и всесезонных масел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и 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 14 и 16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B292D" w:rsidTr="00CB292D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</w:t>
            </w:r>
            <w:r>
              <w:rPr>
                <w:color w:val="2D2D2D"/>
                <w:sz w:val="15"/>
                <w:szCs w:val="15"/>
              </w:rPr>
              <w:br/>
              <w:t xml:space="preserve">* </w:t>
            </w:r>
            <w:proofErr w:type="spellStart"/>
            <w:r>
              <w:rPr>
                <w:color w:val="2D2D2D"/>
                <w:sz w:val="15"/>
                <w:szCs w:val="15"/>
              </w:rPr>
              <w:t>Внедорожная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техника - сельскохозяйственные и промышленные тракторы, строительно-дорожная техника, комбайны, большегрузные автомобили и самосвалы.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Кинематическую вязкость при минус 18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определяют по номограмме (приложение А), если для масла данной марки документацией не предусмотрено ее определение по </w:t>
            </w:r>
            <w:hyperlink r:id="rId21" w:history="1">
              <w:r>
                <w:rPr>
                  <w:rStyle w:val="a7"/>
                  <w:color w:val="00466E"/>
                  <w:sz w:val="15"/>
                  <w:szCs w:val="15"/>
                </w:rPr>
                <w:t>ГОСТ 33</w:t>
              </w:r>
            </w:hyperlink>
            <w:r>
              <w:rPr>
                <w:color w:val="2D2D2D"/>
                <w:sz w:val="15"/>
                <w:szCs w:val="15"/>
              </w:rPr>
              <w:t>. Допускается взамен вязкости при минус 18 °С устанавливать кажущуюся (динамическую) вязкость в соответствии с показателями 1а и 1б таблицы.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2 Для всесезонных масел требования к кинематической вязкости определяются классами вязкости, указываемыми в числителе (для минус 18 °С) и </w:t>
            </w:r>
            <w:proofErr w:type="gramStart"/>
            <w:r>
              <w:rPr>
                <w:color w:val="2D2D2D"/>
                <w:sz w:val="15"/>
                <w:szCs w:val="15"/>
              </w:rPr>
              <w:t>знаменателе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(для 100 °С) при обозначении этих масел.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3 Указанные в таблице методы испытаний являются арбитражными и подлежат обязательному включению в документацию на моторные масла конкретных марок. </w:t>
            </w:r>
            <w:proofErr w:type="gramStart"/>
            <w:r>
              <w:rPr>
                <w:color w:val="2D2D2D"/>
                <w:sz w:val="15"/>
                <w:szCs w:val="15"/>
              </w:rPr>
              <w:t>Допускается включать в документацию другие методы испытаний, не уступающие по точности указанным (приложение Б).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 Нормы по показателям 1а и 1б распространяются на всесезонные загущенные масла.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5 Норма для сульфатной зольности масел (показатель 4) для двигателей дизелей легковых автомобилей распространяется и на универсальные масла.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6 Требования по показателю 3 не предъявляются к моторным маслам для дизелей экологических классов 2 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3. Предназначение моторного масла для дизелей экологических классов 2 и 3 должно быть указано в документации, по которой изготовляют моторное масло.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N</w:t>
      </w:r>
      <w:hyperlink r:id="rId22" w:history="1">
        <w:r>
          <w:rPr>
            <w:rStyle w:val="a7"/>
            <w:color w:val="00466E"/>
            <w:sz w:val="15"/>
            <w:szCs w:val="15"/>
          </w:rPr>
          <w:t> 1</w:t>
        </w:r>
      </w:hyperlink>
      <w:r>
        <w:rPr>
          <w:color w:val="2D2D2D"/>
          <w:sz w:val="15"/>
          <w:szCs w:val="15"/>
        </w:rPr>
        <w:t>, </w:t>
      </w:r>
      <w:hyperlink r:id="rId23" w:history="1">
        <w:r>
          <w:rPr>
            <w:rStyle w:val="a7"/>
            <w:color w:val="00466E"/>
            <w:sz w:val="15"/>
            <w:szCs w:val="15"/>
          </w:rPr>
          <w:t>2</w:t>
        </w:r>
      </w:hyperlink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proofErr w:type="gramEnd"/>
    </w:p>
    <w:p w:rsidR="00CB292D" w:rsidRDefault="00CB292D" w:rsidP="00CB292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(обязательное). Номограмма для определения температурных кривых вязкости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А</w:t>
      </w:r>
      <w:r>
        <w:rPr>
          <w:color w:val="2D2D2D"/>
          <w:sz w:val="15"/>
          <w:szCs w:val="15"/>
        </w:rPr>
        <w:br/>
        <w:t>(обязательное)</w:t>
      </w:r>
    </w:p>
    <w:p w:rsidR="00CB292D" w:rsidRDefault="00CB292D" w:rsidP="00CB292D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lastRenderedPageBreak/>
        <w:drawing>
          <wp:inline distT="0" distB="0" distL="0" distR="0">
            <wp:extent cx="6189345" cy="4858385"/>
            <wp:effectExtent l="19050" t="0" r="1905" b="0"/>
            <wp:docPr id="14" name="Рисунок 14" descr="ГОСТ Р 51634-2000 Масла моторные автотракторные. Общие технические требования (с Изменениями N 1, 2)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51634-2000 Масла моторные автотракторные. Общие технические требования (с Изменениями N 1, 2)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8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B292D" w:rsidRDefault="00CB292D" w:rsidP="00CB292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Б (рекомендуемое). Перечень зарубежных стандартов на методы испытаний масел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Б</w:t>
      </w:r>
      <w:r>
        <w:rPr>
          <w:color w:val="2D2D2D"/>
          <w:sz w:val="15"/>
          <w:szCs w:val="15"/>
        </w:rPr>
        <w:br/>
        <w:t>(рекомендуемое)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АСТМ Д 445-97 Метод определения кинематической вязкости прозрачных и непрозрачных жидкостей</w:t>
      </w:r>
      <w:r>
        <w:rPr>
          <w:color w:val="2D2D2D"/>
          <w:sz w:val="15"/>
          <w:szCs w:val="15"/>
        </w:rPr>
        <w:br/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АСТМ Д 874-96 Метод определения сульфатной золы в смазочных маслах и присадках</w:t>
      </w:r>
      <w:r>
        <w:rPr>
          <w:color w:val="2D2D2D"/>
          <w:sz w:val="15"/>
          <w:szCs w:val="15"/>
        </w:rPr>
        <w:br/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АСТМ Д 92-98а Метод определения температур вспышки и воспламенения в открытом тигле Кливленда</w:t>
      </w:r>
      <w:r>
        <w:rPr>
          <w:color w:val="2D2D2D"/>
          <w:sz w:val="15"/>
          <w:szCs w:val="15"/>
        </w:rPr>
        <w:br/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АСТМ Д 4684-99 Метод определения предела текучести и кажущейся вязкости моторных масел при низкой температуре</w:t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5 АСТМД Д 5293-99а Метод определения кажущейся вязкости моторных масел с использованием имитатора холодной прокрутки в диапазоне температур от -5 до -35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br/>
      </w:r>
    </w:p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 АСТМ Д 974-97 Стандартный метод определения кислотного и щелочного числа титрованием цветным индикатором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ПРИЛОЖЕНИЯ А, Б (Измененная редакция, </w:t>
      </w:r>
      <w:proofErr w:type="spellStart"/>
      <w:r>
        <w:rPr>
          <w:color w:val="2D2D2D"/>
          <w:sz w:val="15"/>
          <w:szCs w:val="15"/>
        </w:rPr>
        <w:fldChar w:fldCharType="begin"/>
      </w:r>
      <w:r>
        <w:rPr>
          <w:color w:val="2D2D2D"/>
          <w:sz w:val="15"/>
          <w:szCs w:val="15"/>
        </w:rPr>
        <w:instrText xml:space="preserve"> HYPERLINK "http://docs.cntd.ru/document/1200028934" </w:instrText>
      </w:r>
      <w:r>
        <w:rPr>
          <w:color w:val="2D2D2D"/>
          <w:sz w:val="15"/>
          <w:szCs w:val="15"/>
        </w:rPr>
        <w:fldChar w:fldCharType="separate"/>
      </w:r>
      <w:r>
        <w:rPr>
          <w:rStyle w:val="a7"/>
          <w:color w:val="00466E"/>
          <w:sz w:val="15"/>
          <w:szCs w:val="15"/>
        </w:rPr>
        <w:t>Изм</w:t>
      </w:r>
      <w:proofErr w:type="spellEnd"/>
      <w:r>
        <w:rPr>
          <w:rStyle w:val="a7"/>
          <w:color w:val="00466E"/>
          <w:sz w:val="15"/>
          <w:szCs w:val="15"/>
        </w:rPr>
        <w:t>.</w:t>
      </w:r>
      <w:proofErr w:type="gramEnd"/>
      <w:r>
        <w:rPr>
          <w:rStyle w:val="a7"/>
          <w:color w:val="00466E"/>
          <w:sz w:val="15"/>
          <w:szCs w:val="15"/>
        </w:rPr>
        <w:t xml:space="preserve"> </w:t>
      </w:r>
      <w:proofErr w:type="gramStart"/>
      <w:r>
        <w:rPr>
          <w:rStyle w:val="a7"/>
          <w:color w:val="00466E"/>
          <w:sz w:val="15"/>
          <w:szCs w:val="15"/>
        </w:rPr>
        <w:t>N 1</w:t>
      </w:r>
      <w:r>
        <w:rPr>
          <w:color w:val="2D2D2D"/>
          <w:sz w:val="15"/>
          <w:szCs w:val="15"/>
        </w:rPr>
        <w:fldChar w:fldCharType="end"/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2"/>
        <w:gridCol w:w="2219"/>
        <w:gridCol w:w="3866"/>
        <w:gridCol w:w="2392"/>
      </w:tblGrid>
      <w:tr w:rsidR="00CB292D" w:rsidTr="00CB292D">
        <w:trPr>
          <w:trHeight w:val="15"/>
        </w:trPr>
        <w:tc>
          <w:tcPr>
            <w:tcW w:w="2218" w:type="dxa"/>
            <w:hideMark/>
          </w:tcPr>
          <w:p w:rsidR="00CB292D" w:rsidRDefault="00CB292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B292D" w:rsidRDefault="00CB292D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CB292D" w:rsidRDefault="00CB292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B292D" w:rsidRDefault="00CB292D">
            <w:pPr>
              <w:rPr>
                <w:sz w:val="2"/>
                <w:szCs w:val="24"/>
              </w:rPr>
            </w:pPr>
          </w:p>
        </w:tc>
      </w:tr>
      <w:tr w:rsidR="00CB292D" w:rsidTr="00CB292D"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ОКС 75.100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Б21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ОКП02 5313</w:t>
            </w:r>
          </w:p>
        </w:tc>
      </w:tr>
      <w:tr w:rsidR="00CB292D" w:rsidTr="00CB292D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75.080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rPr>
                <w:sz w:val="24"/>
                <w:szCs w:val="24"/>
              </w:rPr>
            </w:pPr>
          </w:p>
        </w:tc>
      </w:tr>
      <w:tr w:rsidR="00CB292D" w:rsidTr="00CB292D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rPr>
                <w:sz w:val="24"/>
                <w:szCs w:val="24"/>
              </w:rPr>
            </w:pPr>
          </w:p>
        </w:tc>
      </w:tr>
      <w:tr w:rsidR="00CB292D" w:rsidTr="00CB292D">
        <w:tc>
          <w:tcPr>
            <w:tcW w:w="114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292D" w:rsidRDefault="00CB292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Ключевые слова: масла моторные автотракторные, технические характеристики, класс вязкости</w:t>
            </w:r>
          </w:p>
        </w:tc>
      </w:tr>
    </w:tbl>
    <w:p w:rsidR="00CB292D" w:rsidRDefault="00CB292D" w:rsidP="00CB292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CB292D" w:rsidRDefault="00FC651B" w:rsidP="00CB292D">
      <w:pPr>
        <w:rPr>
          <w:szCs w:val="15"/>
        </w:rPr>
      </w:pPr>
    </w:p>
    <w:sectPr w:rsidR="00FC651B" w:rsidRPr="00CB292D" w:rsidSect="0095551E">
      <w:footerReference w:type="default" r:id="rId26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14BF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23BBE"/>
    <w:multiLevelType w:val="multilevel"/>
    <w:tmpl w:val="3424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092689"/>
    <w:multiLevelType w:val="multilevel"/>
    <w:tmpl w:val="1DF0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20323F6"/>
    <w:multiLevelType w:val="multilevel"/>
    <w:tmpl w:val="8CB0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A30FB7"/>
    <w:multiLevelType w:val="multilevel"/>
    <w:tmpl w:val="3936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B92C20"/>
    <w:multiLevelType w:val="multilevel"/>
    <w:tmpl w:val="13A4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4A4F23"/>
    <w:multiLevelType w:val="multilevel"/>
    <w:tmpl w:val="91B2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D75423"/>
    <w:multiLevelType w:val="multilevel"/>
    <w:tmpl w:val="19A0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70DE9"/>
    <w:multiLevelType w:val="multilevel"/>
    <w:tmpl w:val="864C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5"/>
  </w:num>
  <w:num w:numId="3">
    <w:abstractNumId w:val="38"/>
  </w:num>
  <w:num w:numId="4">
    <w:abstractNumId w:val="6"/>
  </w:num>
  <w:num w:numId="5">
    <w:abstractNumId w:val="28"/>
  </w:num>
  <w:num w:numId="6">
    <w:abstractNumId w:val="22"/>
  </w:num>
  <w:num w:numId="7">
    <w:abstractNumId w:val="21"/>
  </w:num>
  <w:num w:numId="8">
    <w:abstractNumId w:val="7"/>
  </w:num>
  <w:num w:numId="9">
    <w:abstractNumId w:val="31"/>
  </w:num>
  <w:num w:numId="10">
    <w:abstractNumId w:val="16"/>
  </w:num>
  <w:num w:numId="11">
    <w:abstractNumId w:val="17"/>
  </w:num>
  <w:num w:numId="12">
    <w:abstractNumId w:val="19"/>
  </w:num>
  <w:num w:numId="13">
    <w:abstractNumId w:val="30"/>
  </w:num>
  <w:num w:numId="14">
    <w:abstractNumId w:val="18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0"/>
  </w:num>
  <w:num w:numId="23">
    <w:abstractNumId w:val="14"/>
  </w:num>
  <w:num w:numId="24">
    <w:abstractNumId w:val="15"/>
  </w:num>
  <w:num w:numId="25">
    <w:abstractNumId w:val="33"/>
  </w:num>
  <w:num w:numId="26">
    <w:abstractNumId w:val="26"/>
  </w:num>
  <w:num w:numId="27">
    <w:abstractNumId w:val="29"/>
  </w:num>
  <w:num w:numId="28">
    <w:abstractNumId w:val="8"/>
  </w:num>
  <w:num w:numId="29">
    <w:abstractNumId w:val="23"/>
  </w:num>
  <w:num w:numId="30">
    <w:abstractNumId w:val="37"/>
  </w:num>
  <w:num w:numId="31">
    <w:abstractNumId w:val="12"/>
  </w:num>
  <w:num w:numId="32">
    <w:abstractNumId w:val="9"/>
  </w:num>
  <w:num w:numId="33">
    <w:abstractNumId w:val="13"/>
  </w:num>
  <w:num w:numId="34">
    <w:abstractNumId w:val="34"/>
  </w:num>
  <w:num w:numId="35">
    <w:abstractNumId w:val="25"/>
  </w:num>
  <w:num w:numId="36">
    <w:abstractNumId w:val="11"/>
  </w:num>
  <w:num w:numId="37">
    <w:abstractNumId w:val="24"/>
  </w:num>
  <w:num w:numId="38">
    <w:abstractNumId w:val="36"/>
  </w:num>
  <w:num w:numId="39">
    <w:abstractNumId w:val="5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14BFD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B292D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35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462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64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8264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55303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634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50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379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77702394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2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81091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717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37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8980" TargetMode="External"/><Relationship Id="rId13" Type="http://schemas.openxmlformats.org/officeDocument/2006/relationships/hyperlink" Target="http://docs.cntd.ru/document/1200008721" TargetMode="External"/><Relationship Id="rId18" Type="http://schemas.openxmlformats.org/officeDocument/2006/relationships/hyperlink" Target="http://docs.cntd.ru/document/120000872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19821" TargetMode="External"/><Relationship Id="rId7" Type="http://schemas.openxmlformats.org/officeDocument/2006/relationships/hyperlink" Target="http://docs.cntd.ru/document/1200028934" TargetMode="External"/><Relationship Id="rId12" Type="http://schemas.openxmlformats.org/officeDocument/2006/relationships/hyperlink" Target="http://docs.cntd.ru/document/1200005459" TargetMode="External"/><Relationship Id="rId17" Type="http://schemas.openxmlformats.org/officeDocument/2006/relationships/hyperlink" Target="http://docs.cntd.ru/document/1200005459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37466" TargetMode="External"/><Relationship Id="rId20" Type="http://schemas.openxmlformats.org/officeDocument/2006/relationships/hyperlink" Target="http://docs.cntd.ru/document/12000054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08720" TargetMode="External"/><Relationship Id="rId24" Type="http://schemas.openxmlformats.org/officeDocument/2006/relationships/hyperlink" Target="http://docs.cntd.ru/picture/get?id=P002D&amp;doc_id=12000268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1200019821" TargetMode="External"/><Relationship Id="rId23" Type="http://schemas.openxmlformats.org/officeDocument/2006/relationships/hyperlink" Target="http://docs.cntd.ru/document/12000789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1200005437" TargetMode="External"/><Relationship Id="rId19" Type="http://schemas.openxmlformats.org/officeDocument/2006/relationships/hyperlink" Target="http://docs.cntd.ru/document/12000087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19821" TargetMode="External"/><Relationship Id="rId14" Type="http://schemas.openxmlformats.org/officeDocument/2006/relationships/hyperlink" Target="http://docs.cntd.ru/document/1200037466" TargetMode="External"/><Relationship Id="rId22" Type="http://schemas.openxmlformats.org/officeDocument/2006/relationships/hyperlink" Target="http://docs.cntd.ru/document/120002893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2017-10-10T12:50:00Z</dcterms:created>
  <dcterms:modified xsi:type="dcterms:W3CDTF">2017-10-10T12:50:00Z</dcterms:modified>
</cp:coreProperties>
</file>