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77" w:rsidRDefault="004B1F77" w:rsidP="004B1F7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52051-2003 Механические транспортные средства и прицепы. Классификация и определения</w:t>
      </w:r>
    </w:p>
    <w:p w:rsidR="004B1F77" w:rsidRDefault="004B1F77" w:rsidP="004B1F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52051-2003 </w:t>
      </w:r>
      <w:r>
        <w:rPr>
          <w:color w:val="2D2D2D"/>
          <w:sz w:val="15"/>
          <w:szCs w:val="15"/>
        </w:rPr>
        <w:br/>
      </w:r>
      <w:r>
        <w:rPr>
          <w:color w:val="2D2D2D"/>
          <w:sz w:val="15"/>
          <w:szCs w:val="15"/>
        </w:rPr>
        <w:br/>
        <w:t>Группа Д20</w:t>
      </w:r>
    </w:p>
    <w:p w:rsidR="004B1F77" w:rsidRDefault="004B1F77" w:rsidP="004B1F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4B1F77" w:rsidRDefault="004B1F77" w:rsidP="004B1F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МЕХАНИЧЕСКИЕ ТРАНСПОРТНЫЕ СРЕДСТВА И ПРИЦЕПЫ </w:t>
      </w:r>
    </w:p>
    <w:p w:rsidR="004B1F77" w:rsidRPr="004B1F77" w:rsidRDefault="004B1F77" w:rsidP="004B1F77">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Классификация</w:t>
      </w:r>
      <w:r w:rsidRPr="004B1F77">
        <w:rPr>
          <w:color w:val="3C3C3C"/>
          <w:sz w:val="41"/>
          <w:szCs w:val="41"/>
          <w:lang w:val="en-US"/>
        </w:rPr>
        <w:t xml:space="preserve"> </w:t>
      </w:r>
      <w:r>
        <w:rPr>
          <w:color w:val="3C3C3C"/>
          <w:sz w:val="41"/>
          <w:szCs w:val="41"/>
        </w:rPr>
        <w:t>и</w:t>
      </w:r>
      <w:r w:rsidRPr="004B1F77">
        <w:rPr>
          <w:color w:val="3C3C3C"/>
          <w:sz w:val="41"/>
          <w:szCs w:val="41"/>
          <w:lang w:val="en-US"/>
        </w:rPr>
        <w:t xml:space="preserve"> </w:t>
      </w:r>
      <w:r>
        <w:rPr>
          <w:color w:val="3C3C3C"/>
          <w:sz w:val="41"/>
          <w:szCs w:val="41"/>
        </w:rPr>
        <w:t>определения</w:t>
      </w:r>
    </w:p>
    <w:p w:rsidR="004B1F77" w:rsidRPr="004B1F77" w:rsidRDefault="004B1F77" w:rsidP="004B1F77">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4B1F77">
        <w:rPr>
          <w:color w:val="3C3C3C"/>
          <w:sz w:val="41"/>
          <w:szCs w:val="41"/>
          <w:lang w:val="en-US"/>
        </w:rPr>
        <w:t>Power-driven vehicles and trailers.</w:t>
      </w:r>
      <w:proofErr w:type="gramEnd"/>
      <w:r w:rsidRPr="004B1F77">
        <w:rPr>
          <w:color w:val="3C3C3C"/>
          <w:sz w:val="41"/>
          <w:szCs w:val="41"/>
          <w:lang w:val="en-US"/>
        </w:rPr>
        <w:t xml:space="preserve"> Classification and definitions</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sidRPr="004B1F77">
        <w:rPr>
          <w:color w:val="2D2D2D"/>
          <w:sz w:val="15"/>
          <w:szCs w:val="15"/>
        </w:rPr>
        <w:br/>
      </w:r>
      <w:r>
        <w:rPr>
          <w:color w:val="2D2D2D"/>
          <w:sz w:val="15"/>
          <w:szCs w:val="15"/>
        </w:rPr>
        <w:t>ОКС 43.020</w:t>
      </w:r>
      <w:r>
        <w:rPr>
          <w:color w:val="2D2D2D"/>
          <w:sz w:val="15"/>
          <w:szCs w:val="15"/>
        </w:rPr>
        <w:br/>
        <w:t>ОКП 45 0000</w:t>
      </w:r>
    </w:p>
    <w:p w:rsidR="004B1F77" w:rsidRDefault="004B1F77" w:rsidP="004B1F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2004-01-01</w:t>
      </w:r>
    </w:p>
    <w:p w:rsidR="004B1F77" w:rsidRDefault="004B1F77" w:rsidP="004B1F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Приложения 7 к </w:t>
      </w:r>
      <w:r w:rsidRPr="004B1F77">
        <w:rPr>
          <w:color w:val="2D2D2D"/>
          <w:sz w:val="15"/>
          <w:szCs w:val="15"/>
        </w:rPr>
        <w:t>"Сводной резолюции о конструкции транспортных средств"</w:t>
      </w:r>
      <w:r>
        <w:rPr>
          <w:color w:val="2D2D2D"/>
          <w:sz w:val="15"/>
          <w:szCs w:val="15"/>
        </w:rPr>
        <w:t> (СР.3), принятой Всемирным форумом для согласования правил в области транспортных средств КВТ ЕЭК ООН, и Директивы 2002/24 ЕС*</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w:t>
      </w:r>
      <w:proofErr w:type="gramEnd"/>
      <w:r>
        <w:rPr>
          <w:color w:val="2D2D2D"/>
          <w:sz w:val="15"/>
          <w:szCs w:val="15"/>
        </w:rPr>
        <w:t xml:space="preserve"> сайт </w:t>
      </w:r>
      <w:r w:rsidRPr="004B1F77">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Управлением стандартизации Госстандарта России </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7 мая 2003 г. N 139-ст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Настоящий стандарт гармонизирован с Приложением 7, Пересмотр 2 "Классификация и определение механических транспортных средств и прицепов" (документ TRANS/WP.29/78/Rev.1/</w:t>
      </w:r>
      <w:proofErr w:type="spellStart"/>
      <w:r>
        <w:rPr>
          <w:color w:val="2D2D2D"/>
          <w:sz w:val="15"/>
          <w:szCs w:val="15"/>
        </w:rPr>
        <w:t>Amend</w:t>
      </w:r>
      <w:proofErr w:type="spellEnd"/>
      <w:r>
        <w:rPr>
          <w:color w:val="2D2D2D"/>
          <w:sz w:val="15"/>
          <w:szCs w:val="15"/>
        </w:rPr>
        <w:t>/2, дата введения 16.04.99) к </w:t>
      </w:r>
      <w:r w:rsidRPr="004B1F77">
        <w:rPr>
          <w:color w:val="2D2D2D"/>
          <w:sz w:val="15"/>
          <w:szCs w:val="15"/>
        </w:rPr>
        <w:t>"Сводной резолюции о конструкции транспортных средств"</w:t>
      </w:r>
      <w:r>
        <w:rPr>
          <w:color w:val="2D2D2D"/>
          <w:sz w:val="15"/>
          <w:szCs w:val="15"/>
        </w:rPr>
        <w:t> (СР.3), Пересмотр 1 (документ TRANS/WP.29/78/Rev.1, дата введения 13.08.97) и Директивой 2002/24 ЕС от 18.03.2002</w:t>
      </w:r>
      <w:r>
        <w:rPr>
          <w:color w:val="2D2D2D"/>
          <w:sz w:val="15"/>
          <w:szCs w:val="15"/>
        </w:rPr>
        <w:br/>
      </w:r>
      <w:proofErr w:type="gramEnd"/>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t>5 ПЕРЕИЗДАНИЕ. Август 2006 г.</w:t>
      </w:r>
      <w:r>
        <w:rPr>
          <w:color w:val="2D2D2D"/>
          <w:sz w:val="15"/>
          <w:szCs w:val="15"/>
        </w:rPr>
        <w:br/>
      </w:r>
      <w:r>
        <w:rPr>
          <w:color w:val="2D2D2D"/>
          <w:sz w:val="15"/>
          <w:szCs w:val="15"/>
        </w:rPr>
        <w:br/>
        <w:t>Переиздание (по состоянию на май 2008 г.)</w:t>
      </w:r>
      <w:r>
        <w:rPr>
          <w:color w:val="2D2D2D"/>
          <w:sz w:val="15"/>
          <w:szCs w:val="15"/>
        </w:rPr>
        <w:br/>
      </w:r>
      <w:r>
        <w:rPr>
          <w:color w:val="2D2D2D"/>
          <w:sz w:val="15"/>
          <w:szCs w:val="15"/>
        </w:rPr>
        <w:br/>
      </w:r>
      <w:r>
        <w:rPr>
          <w:color w:val="2D2D2D"/>
          <w:sz w:val="15"/>
          <w:szCs w:val="15"/>
        </w:rPr>
        <w:br/>
        <w:t>Настоящий стандарт гармонизирован с Приложением 7 к </w:t>
      </w:r>
      <w:r w:rsidRPr="004B1F77">
        <w:rPr>
          <w:color w:val="2D2D2D"/>
          <w:sz w:val="15"/>
          <w:szCs w:val="15"/>
        </w:rPr>
        <w:t>"Сводной резолюции о конструкции транспортных средств"</w:t>
      </w:r>
      <w:r>
        <w:rPr>
          <w:color w:val="2D2D2D"/>
          <w:sz w:val="15"/>
          <w:szCs w:val="15"/>
        </w:rPr>
        <w:t>, принятой Всемирным форумом для согласования правил в области транспортных средств КВТ ЕЭК ООН, и Директивой 2002/24 ЕС.</w:t>
      </w:r>
      <w:r>
        <w:rPr>
          <w:color w:val="2D2D2D"/>
          <w:sz w:val="15"/>
          <w:szCs w:val="15"/>
        </w:rPr>
        <w:br/>
      </w:r>
      <w:r>
        <w:rPr>
          <w:color w:val="2D2D2D"/>
          <w:sz w:val="15"/>
          <w:szCs w:val="15"/>
        </w:rPr>
        <w:br/>
      </w:r>
    </w:p>
    <w:p w:rsidR="004B1F77" w:rsidRDefault="004B1F77" w:rsidP="004B1F7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Нормативные ссылки</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использованы ссылки на следующие стандарты:</w:t>
      </w:r>
      <w:r>
        <w:rPr>
          <w:color w:val="2D2D2D"/>
          <w:sz w:val="15"/>
          <w:szCs w:val="15"/>
        </w:rPr>
        <w:br/>
      </w:r>
      <w:r>
        <w:rPr>
          <w:color w:val="2D2D2D"/>
          <w:sz w:val="15"/>
          <w:szCs w:val="15"/>
        </w:rPr>
        <w:br/>
      </w:r>
      <w:r w:rsidRPr="004B1F77">
        <w:rPr>
          <w:color w:val="2D2D2D"/>
          <w:sz w:val="15"/>
          <w:szCs w:val="15"/>
        </w:rPr>
        <w:t xml:space="preserve">ГОСТ </w:t>
      </w:r>
      <w:proofErr w:type="gramStart"/>
      <w:r w:rsidRPr="004B1F77">
        <w:rPr>
          <w:color w:val="2D2D2D"/>
          <w:sz w:val="15"/>
          <w:szCs w:val="15"/>
        </w:rPr>
        <w:t>Р</w:t>
      </w:r>
      <w:proofErr w:type="gramEnd"/>
      <w:r w:rsidRPr="004B1F77">
        <w:rPr>
          <w:color w:val="2D2D2D"/>
          <w:sz w:val="15"/>
          <w:szCs w:val="15"/>
        </w:rPr>
        <w:t xml:space="preserve"> 41.36-2004</w:t>
      </w:r>
      <w:r>
        <w:rPr>
          <w:color w:val="2D2D2D"/>
          <w:sz w:val="15"/>
          <w:szCs w:val="15"/>
        </w:rPr>
        <w:t> (Правила ЕЭК ООН N 36) Единообразные предписания, касающиеся официального утверждения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r w:rsidRPr="004B1F77">
        <w:rPr>
          <w:color w:val="2D2D2D"/>
          <w:sz w:val="15"/>
          <w:szCs w:val="15"/>
        </w:rPr>
        <w:t>ГОСТ Р 41.52-2005</w:t>
      </w:r>
      <w:r>
        <w:rPr>
          <w:color w:val="2D2D2D"/>
          <w:sz w:val="15"/>
          <w:szCs w:val="15"/>
        </w:rPr>
        <w:t> (Правила ЕЭК ООН N 52) Единообразные предписания, касающиеся конструкции транспортных средств малой вместимости категории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1028" type="#_x0000_t75" alt="ГОСТ Р 52051-2003 Механические транспортные средства и прицепы. Классификация и определения" style="width:18.8pt;height:17.75pt"/>
        </w:pict>
      </w:r>
      <w:r>
        <w:rPr>
          <w:color w:val="2D2D2D"/>
          <w:sz w:val="15"/>
          <w:szCs w:val="15"/>
        </w:rPr>
        <w:t> в отношении их общей конструкции</w:t>
      </w:r>
      <w:r>
        <w:rPr>
          <w:color w:val="2D2D2D"/>
          <w:sz w:val="15"/>
          <w:szCs w:val="15"/>
        </w:rPr>
        <w:br/>
      </w:r>
      <w:r>
        <w:rPr>
          <w:color w:val="2D2D2D"/>
          <w:sz w:val="15"/>
          <w:szCs w:val="15"/>
        </w:rPr>
        <w:br/>
      </w:r>
      <w:r w:rsidRPr="004B1F77">
        <w:rPr>
          <w:color w:val="2D2D2D"/>
          <w:sz w:val="15"/>
          <w:szCs w:val="15"/>
        </w:rPr>
        <w:t>ГОСТ Р 41.107-99</w:t>
      </w:r>
      <w:r>
        <w:rPr>
          <w:color w:val="2D2D2D"/>
          <w:sz w:val="15"/>
          <w:szCs w:val="15"/>
        </w:rPr>
        <w:t> (Правила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2 Категория L - механические транспортные средства, имеющие менее четырех колес, и </w:t>
      </w:r>
      <w:proofErr w:type="spellStart"/>
      <w:r>
        <w:rPr>
          <w:rFonts w:ascii="Arial" w:hAnsi="Arial" w:cs="Arial"/>
          <w:b w:val="0"/>
          <w:bCs w:val="0"/>
          <w:color w:val="3C3C3C"/>
          <w:sz w:val="41"/>
          <w:szCs w:val="41"/>
        </w:rPr>
        <w:t>квадрициклы</w:t>
      </w:r>
      <w:proofErr w:type="spellEnd"/>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Категория </w:t>
      </w:r>
      <w:r>
        <w:rPr>
          <w:color w:val="2D2D2D"/>
          <w:sz w:val="15"/>
          <w:szCs w:val="15"/>
        </w:rPr>
        <w:pict>
          <v:shape id="_x0000_i1029" type="#_x0000_t75" alt="ГОСТ Р 52051-2003 Механические транспортные средства и прицепы. Классификация и определения" style="width:14.5pt;height:17.2pt"/>
        </w:pict>
      </w:r>
      <w:r>
        <w:rPr>
          <w:color w:val="2D2D2D"/>
          <w:sz w:val="15"/>
          <w:szCs w:val="15"/>
        </w:rPr>
        <w:t>. Двухколесный мопед. Двухколесное транспортное средство,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 рабочим объемом двигателя, не превышающим 50 см</w:t>
      </w:r>
      <w:r>
        <w:rPr>
          <w:color w:val="2D2D2D"/>
          <w:sz w:val="15"/>
          <w:szCs w:val="15"/>
        </w:rPr>
        <w:pict>
          <v:shape id="_x0000_i1030"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Категория </w:t>
      </w:r>
      <w:r>
        <w:rPr>
          <w:color w:val="2D2D2D"/>
          <w:sz w:val="15"/>
          <w:szCs w:val="15"/>
        </w:rPr>
        <w:pict>
          <v:shape id="_x0000_i1031" type="#_x0000_t75" alt="ГОСТ Р 52051-2003 Механические транспортные средства и прицепы. Классификация и определения" style="width:15.6pt;height:17.2pt"/>
        </w:pict>
      </w:r>
      <w:r>
        <w:rPr>
          <w:color w:val="2D2D2D"/>
          <w:sz w:val="15"/>
          <w:szCs w:val="15"/>
        </w:rPr>
        <w:t xml:space="preserve">. Трехколесный мопед. </w:t>
      </w:r>
      <w:proofErr w:type="gramStart"/>
      <w:r>
        <w:rPr>
          <w:color w:val="2D2D2D"/>
          <w:sz w:val="15"/>
          <w:szCs w:val="15"/>
        </w:rPr>
        <w:t>Трехколесное транспортное средство с любым расположением колес,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32"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w:t>
      </w:r>
      <w:proofErr w:type="gramEnd"/>
      <w:r>
        <w:rPr>
          <w:color w:val="2D2D2D"/>
          <w:sz w:val="15"/>
          <w:szCs w:val="15"/>
        </w:rPr>
        <w:t xml:space="preserve"> 4 кВт.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Категория </w:t>
      </w:r>
      <w:r>
        <w:rPr>
          <w:color w:val="2D2D2D"/>
          <w:sz w:val="15"/>
          <w:szCs w:val="15"/>
        </w:rPr>
        <w:pict>
          <v:shape id="_x0000_i1033" type="#_x0000_t75" alt="ГОСТ Р 52051-2003 Механические транспортные средства и прицепы. Классификация и определения" style="width:15.6pt;height:17.75pt"/>
        </w:pict>
      </w:r>
      <w:r>
        <w:rPr>
          <w:color w:val="2D2D2D"/>
          <w:sz w:val="15"/>
          <w:szCs w:val="15"/>
        </w:rPr>
        <w:t>. Мотоцикл. Двухколесное транспортное средство, рабочий объем двигателя которого (в случае двигателя внутреннего сгорания) превышает 50 см</w:t>
      </w:r>
      <w:r>
        <w:rPr>
          <w:color w:val="2D2D2D"/>
          <w:sz w:val="15"/>
          <w:szCs w:val="15"/>
        </w:rPr>
        <w:pict>
          <v:shape id="_x0000_i1034"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Категория </w:t>
      </w:r>
      <w:r>
        <w:rPr>
          <w:color w:val="2D2D2D"/>
          <w:sz w:val="15"/>
          <w:szCs w:val="15"/>
        </w:rPr>
        <w:pict>
          <v:shape id="_x0000_i1035" type="#_x0000_t75" alt="ГОСТ Р 52051-2003 Механические транспортные средства и прицепы. Классификация и определения" style="width:15.6pt;height:17.2pt"/>
        </w:pict>
      </w:r>
      <w:r>
        <w:rPr>
          <w:color w:val="2D2D2D"/>
          <w:sz w:val="15"/>
          <w:szCs w:val="15"/>
        </w:rPr>
        <w:t>. Мотоцикл с коляской.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Pr>
          <w:color w:val="2D2D2D"/>
          <w:sz w:val="15"/>
          <w:szCs w:val="15"/>
        </w:rPr>
        <w:pict>
          <v:shape id="_x0000_i1036"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Категория </w:t>
      </w:r>
      <w:r>
        <w:rPr>
          <w:color w:val="2D2D2D"/>
          <w:sz w:val="15"/>
          <w:szCs w:val="15"/>
        </w:rPr>
        <w:pict>
          <v:shape id="_x0000_i1037"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Трицикл</w:t>
      </w:r>
      <w:proofErr w:type="spellEnd"/>
      <w:r>
        <w:rPr>
          <w:color w:val="2D2D2D"/>
          <w:sz w:val="15"/>
          <w:szCs w:val="15"/>
        </w:rPr>
        <w:t>.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Pr>
          <w:color w:val="2D2D2D"/>
          <w:sz w:val="15"/>
          <w:szCs w:val="15"/>
        </w:rPr>
        <w:pict>
          <v:shape id="_x0000_i1038"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Категория </w:t>
      </w:r>
      <w:r>
        <w:rPr>
          <w:color w:val="2D2D2D"/>
          <w:sz w:val="15"/>
          <w:szCs w:val="15"/>
        </w:rPr>
        <w:pict>
          <v:shape id="_x0000_i1039"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gramStart"/>
      <w:r>
        <w:rPr>
          <w:color w:val="2D2D2D"/>
          <w:sz w:val="15"/>
          <w:szCs w:val="15"/>
        </w:rPr>
        <w:t>Легкий</w:t>
      </w:r>
      <w:proofErr w:type="gramEnd"/>
      <w:r>
        <w:rPr>
          <w:color w:val="2D2D2D"/>
          <w:sz w:val="15"/>
          <w:szCs w:val="15"/>
        </w:rPr>
        <w:t xml:space="preserve"> </w:t>
      </w:r>
      <w:proofErr w:type="spellStart"/>
      <w:r>
        <w:rPr>
          <w:color w:val="2D2D2D"/>
          <w:sz w:val="15"/>
          <w:szCs w:val="15"/>
        </w:rPr>
        <w:t>квадрицикл</w:t>
      </w:r>
      <w:proofErr w:type="spellEnd"/>
      <w:r>
        <w:rPr>
          <w:color w:val="2D2D2D"/>
          <w:sz w:val="15"/>
          <w:szCs w:val="15"/>
        </w:rPr>
        <w:t xml:space="preserve">. </w:t>
      </w:r>
      <w:proofErr w:type="gramStart"/>
      <w:r>
        <w:rPr>
          <w:color w:val="2D2D2D"/>
          <w:sz w:val="15"/>
          <w:szCs w:val="15"/>
        </w:rPr>
        <w:t>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40"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двигателя, не превышающей 4 кВт, или</w:t>
      </w:r>
      <w:proofErr w:type="gramEnd"/>
      <w:r>
        <w:rPr>
          <w:color w:val="2D2D2D"/>
          <w:sz w:val="15"/>
          <w:szCs w:val="15"/>
        </w:rPr>
        <w:br/>
      </w:r>
      <w:r>
        <w:rPr>
          <w:color w:val="2D2D2D"/>
          <w:sz w:val="15"/>
          <w:szCs w:val="15"/>
        </w:rPr>
        <w:br/>
        <w:t>- в случае электродвигателя - номинальной максимальной мощностью двигателя в режиме длительной нагрузки, не превышающей 4 кВт.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 Категория </w:t>
      </w:r>
      <w:r>
        <w:rPr>
          <w:color w:val="2D2D2D"/>
          <w:sz w:val="15"/>
          <w:szCs w:val="15"/>
        </w:rPr>
        <w:pict>
          <v:shape id="_x0000_i1041"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Квадрицикл</w:t>
      </w:r>
      <w:proofErr w:type="spellEnd"/>
      <w:r>
        <w:rPr>
          <w:color w:val="2D2D2D"/>
          <w:sz w:val="15"/>
          <w:szCs w:val="15"/>
        </w:rPr>
        <w:t>. Четырехколесное транспортное средство иное, чем транспортное средство категории </w:t>
      </w:r>
      <w:r>
        <w:rPr>
          <w:color w:val="2D2D2D"/>
          <w:sz w:val="15"/>
          <w:szCs w:val="15"/>
        </w:rPr>
        <w:pict>
          <v:shape id="_x0000_i1042" type="#_x0000_t75" alt="ГОСТ Р 52051-2003 Механические транспортные средства и прицепы. Классификация и определения" style="width:15.6pt;height:17.75pt"/>
        </w:pict>
      </w:r>
      <w:r>
        <w:rPr>
          <w:color w:val="2D2D2D"/>
          <w:sz w:val="15"/>
          <w:szCs w:val="15"/>
        </w:rPr>
        <w:t>,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r>
        <w:rPr>
          <w:color w:val="2D2D2D"/>
          <w:sz w:val="15"/>
          <w:szCs w:val="15"/>
        </w:rPr>
        <w:br/>
      </w:r>
      <w:r>
        <w:rPr>
          <w:color w:val="2D2D2D"/>
          <w:sz w:val="15"/>
          <w:szCs w:val="15"/>
        </w:rPr>
        <w:br/>
        <w:t>Примечания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Максимальная эффективная мощность двигателя транспортного средства категории </w:t>
      </w:r>
      <w:r>
        <w:rPr>
          <w:color w:val="2D2D2D"/>
          <w:sz w:val="15"/>
          <w:szCs w:val="15"/>
        </w:rPr>
        <w:pict>
          <v:shape id="_x0000_i1043" type="#_x0000_t75" alt="ГОСТ Р 52051-2003 Механические транспортные средства и прицепы. Классификация и определения" style="width:11.3pt;height:12.9pt"/>
        </w:pict>
      </w:r>
      <w:r>
        <w:rPr>
          <w:color w:val="2D2D2D"/>
          <w:sz w:val="15"/>
          <w:szCs w:val="15"/>
        </w:rPr>
        <w:t>представляет собой максимальное значение эффективной мощности при положении управляющего органа, обеспечивающем максимальную мощность, и полной нагрузке на двигатель.</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Эффективная мощность транспортного средства категории </w:t>
      </w:r>
      <w:r>
        <w:rPr>
          <w:color w:val="2D2D2D"/>
          <w:sz w:val="15"/>
          <w:szCs w:val="15"/>
        </w:rPr>
        <w:pict>
          <v:shape id="_x0000_i1044"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мощность двигателя, замеряемую на стенде на выходной части коленчатого вала или эквивалентной детали при частоте вращения, установленной изготовителем, при подсоединенных системах и агрегатах, необходимых для обеспечения нормальной работы двигателя (системах впуска, выпуска, питания, охлаждения, ограничителя частоты вращения двигателя, и т.п.). Если мощность может быть замерена только при подсоединенной к двигателю коробке передач, то необходимо учитывать КПД коробки передач*.</w:t>
      </w:r>
      <w:r>
        <w:rPr>
          <w:color w:val="2D2D2D"/>
          <w:sz w:val="15"/>
          <w:szCs w:val="15"/>
        </w:rPr>
        <w:br/>
        <w:t>____________________</w:t>
      </w:r>
      <w:r>
        <w:rPr>
          <w:color w:val="2D2D2D"/>
          <w:sz w:val="15"/>
          <w:szCs w:val="15"/>
        </w:rPr>
        <w:br/>
        <w:t>* Определение максимальной эффективной и эффективной мощности двигателя транспортного средства категории </w:t>
      </w:r>
      <w:r>
        <w:rPr>
          <w:color w:val="2D2D2D"/>
          <w:sz w:val="15"/>
          <w:szCs w:val="15"/>
        </w:rPr>
        <w:pict>
          <v:shape id="_x0000_i1045"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95/1 ЕС.</w:t>
      </w:r>
      <w:r>
        <w:rPr>
          <w:color w:val="2D2D2D"/>
          <w:sz w:val="15"/>
          <w:szCs w:val="15"/>
        </w:rPr>
        <w:br/>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Масса ненагруженного транспортного средства категории </w:t>
      </w:r>
      <w:r>
        <w:rPr>
          <w:color w:val="2D2D2D"/>
          <w:sz w:val="15"/>
          <w:szCs w:val="15"/>
        </w:rPr>
        <w:pict>
          <v:shape id="_x0000_i1046"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транспортного средства, подготовленного к нормальной эксплуатации и укомплектованного следующими компонентами:</w:t>
      </w:r>
      <w:r>
        <w:rPr>
          <w:color w:val="2D2D2D"/>
          <w:sz w:val="15"/>
          <w:szCs w:val="15"/>
        </w:rPr>
        <w:br/>
      </w:r>
      <w:r>
        <w:rPr>
          <w:color w:val="2D2D2D"/>
          <w:sz w:val="15"/>
          <w:szCs w:val="15"/>
        </w:rPr>
        <w:br/>
        <w:t>- дополнительным оборудованием, необходимым для нормальной эксплуатации данного транспортного средства;</w:t>
      </w:r>
      <w:r>
        <w:rPr>
          <w:color w:val="2D2D2D"/>
          <w:sz w:val="15"/>
          <w:szCs w:val="15"/>
        </w:rPr>
        <w:br/>
      </w:r>
      <w:r>
        <w:rPr>
          <w:color w:val="2D2D2D"/>
          <w:sz w:val="15"/>
          <w:szCs w:val="15"/>
        </w:rPr>
        <w:br/>
        <w:t>- полным комплектом электрооборудования, включая осветительные и светосигнальные устройства, установленные изготовителем;</w:t>
      </w:r>
      <w:r>
        <w:rPr>
          <w:color w:val="2D2D2D"/>
          <w:sz w:val="15"/>
          <w:szCs w:val="15"/>
        </w:rPr>
        <w:br/>
      </w:r>
      <w:r>
        <w:rPr>
          <w:color w:val="2D2D2D"/>
          <w:sz w:val="15"/>
          <w:szCs w:val="15"/>
        </w:rPr>
        <w:br/>
        <w:t>- инструментами и приспособлениями, комплектация которыми предписывается нормативными документами, касающимися измерения массы ненагруженного транспортного средства;</w:t>
      </w:r>
      <w:proofErr w:type="gramEnd"/>
      <w:r>
        <w:rPr>
          <w:color w:val="2D2D2D"/>
          <w:sz w:val="15"/>
          <w:szCs w:val="15"/>
        </w:rPr>
        <w:br/>
      </w:r>
      <w:r>
        <w:rPr>
          <w:color w:val="2D2D2D"/>
          <w:sz w:val="15"/>
          <w:szCs w:val="15"/>
        </w:rPr>
        <w:br/>
        <w:t>- соответствующими количествами рабочих жидкостей, обеспечивающими надлежащее функционирование всех частей транспортного средства.</w:t>
      </w:r>
      <w:r>
        <w:rPr>
          <w:color w:val="2D2D2D"/>
          <w:sz w:val="15"/>
          <w:szCs w:val="15"/>
        </w:rPr>
        <w:br/>
      </w:r>
      <w:r>
        <w:rPr>
          <w:color w:val="2D2D2D"/>
          <w:sz w:val="15"/>
          <w:szCs w:val="15"/>
        </w:rPr>
        <w:br/>
        <w:t xml:space="preserve">Топливо и смесь топлива с маслом не учитывают при определении массы ненагруженного транспортного средства, однако такие компоненты, как кислота в аккумуляторах, жидкость в </w:t>
      </w:r>
      <w:proofErr w:type="spellStart"/>
      <w:r>
        <w:rPr>
          <w:color w:val="2D2D2D"/>
          <w:sz w:val="15"/>
          <w:szCs w:val="15"/>
        </w:rPr>
        <w:t>гидросистеме</w:t>
      </w:r>
      <w:proofErr w:type="spellEnd"/>
      <w:r>
        <w:rPr>
          <w:color w:val="2D2D2D"/>
          <w:sz w:val="15"/>
          <w:szCs w:val="15"/>
        </w:rPr>
        <w:t>, охлаждающая жидкость и масло в двигателе должны быть учтены*.</w:t>
      </w:r>
      <w:r>
        <w:rPr>
          <w:color w:val="2D2D2D"/>
          <w:sz w:val="15"/>
          <w:szCs w:val="15"/>
        </w:rPr>
        <w:br/>
        <w:t>__________________</w:t>
      </w:r>
      <w:r>
        <w:rPr>
          <w:color w:val="2D2D2D"/>
          <w:sz w:val="15"/>
          <w:szCs w:val="15"/>
        </w:rPr>
        <w:br/>
        <w:t>* Определение массы ненагруженного транспортного средства категории </w:t>
      </w:r>
      <w:r>
        <w:rPr>
          <w:color w:val="2D2D2D"/>
          <w:sz w:val="15"/>
          <w:szCs w:val="15"/>
        </w:rPr>
        <w:pict>
          <v:shape id="_x0000_i1047"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Максимальную конструктивную скорость транспортных средств категории </w:t>
      </w:r>
      <w:r>
        <w:rPr>
          <w:color w:val="2D2D2D"/>
          <w:sz w:val="15"/>
          <w:szCs w:val="15"/>
        </w:rPr>
        <w:pict>
          <v:shape id="_x0000_i1048" type="#_x0000_t75" alt="ГОСТ Р 52051-2003 Механические транспортные средства и прицепы. Классификация и определения" style="width:11.3pt;height:12.9pt"/>
        </w:pict>
      </w:r>
      <w:r>
        <w:rPr>
          <w:color w:val="2D2D2D"/>
          <w:sz w:val="15"/>
          <w:szCs w:val="15"/>
        </w:rPr>
        <w:t> определяют в дорожных испытаниях. При этом масса транспортного средства должна включать в себя массу снаряженного транспортного средства и массу водителя. Испытания проводят на горизонтальном сухом дорожном покрытии при положении управляющего органа, обеспечивающем максимальную мощность, отключенной системе обогащения рабочей смеси и включенной передаче в коробке передач, обеспечивающей максимальную скорость на горизонтальной поверхности.</w:t>
      </w:r>
      <w:r>
        <w:rPr>
          <w:color w:val="2D2D2D"/>
          <w:sz w:val="15"/>
          <w:szCs w:val="15"/>
        </w:rPr>
        <w:br/>
      </w:r>
      <w:r>
        <w:rPr>
          <w:color w:val="2D2D2D"/>
          <w:sz w:val="15"/>
          <w:szCs w:val="15"/>
        </w:rPr>
        <w:br/>
        <w:t>Водитель, участвующий в таких испытаниях, должен иметь массу (75±5) кг (для транспортных средств категорий </w:t>
      </w:r>
      <w:r>
        <w:rPr>
          <w:noProof/>
          <w:color w:val="2D2D2D"/>
          <w:sz w:val="15"/>
          <w:szCs w:val="15"/>
        </w:rPr>
        <w:drawing>
          <wp:inline distT="0" distB="0" distL="0" distR="0">
            <wp:extent cx="504825" cy="225425"/>
            <wp:effectExtent l="19050" t="0" r="9525" b="0"/>
            <wp:docPr id="25" name="Рисунок 2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2051-2003 Механические транспортные средства и прицепы. Классификация и определения"/>
                    <pic:cNvPicPr>
                      <a:picLocks noChangeAspect="1" noChangeArrowheads="1"/>
                    </pic:cNvPicPr>
                  </pic:nvPicPr>
                  <pic:blipFill>
                    <a:blip r:embed="rId7"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 или (75±2) кг (для транспортных средств категорий </w:t>
      </w:r>
      <w:r>
        <w:rPr>
          <w:color w:val="2D2D2D"/>
          <w:sz w:val="15"/>
          <w:szCs w:val="15"/>
        </w:rPr>
        <w:pict>
          <v:shape id="_x0000_i1050" type="#_x0000_t75" alt="ГОСТ Р 52051-2003 Механические транспортные средства и прицепы. Классификация и определения" style="width:14.5pt;height:17.2pt"/>
        </w:pict>
      </w:r>
      <w:r>
        <w:rPr>
          <w:color w:val="2D2D2D"/>
          <w:sz w:val="15"/>
          <w:szCs w:val="15"/>
        </w:rPr>
        <w:t>и </w:t>
      </w:r>
      <w:r>
        <w:rPr>
          <w:color w:val="2D2D2D"/>
          <w:sz w:val="15"/>
          <w:szCs w:val="15"/>
        </w:rPr>
        <w:pict>
          <v:shape id="_x0000_i1051" type="#_x0000_t75" alt="ГОСТ Р 52051-2003 Механические транспортные средства и прицепы. Классификация и определения" style="width:15.6pt;height:17.2pt"/>
        </w:pict>
      </w:r>
      <w:r>
        <w:rPr>
          <w:color w:val="2D2D2D"/>
          <w:sz w:val="15"/>
          <w:szCs w:val="15"/>
        </w:rPr>
        <w:t>)*.</w:t>
      </w:r>
      <w:r>
        <w:rPr>
          <w:color w:val="2D2D2D"/>
          <w:sz w:val="15"/>
          <w:szCs w:val="15"/>
        </w:rPr>
        <w:br/>
        <w:t>_____________________</w:t>
      </w:r>
      <w:r>
        <w:rPr>
          <w:color w:val="2D2D2D"/>
          <w:sz w:val="15"/>
          <w:szCs w:val="15"/>
        </w:rPr>
        <w:br/>
        <w:t>* Определение максимальной конструктивной скорости транспортного средства категории </w:t>
      </w:r>
      <w:r>
        <w:rPr>
          <w:color w:val="2D2D2D"/>
          <w:sz w:val="15"/>
          <w:szCs w:val="15"/>
        </w:rPr>
        <w:pict>
          <v:shape id="_x0000_i1052" type="#_x0000_t75" alt="ГОСТ Р 52051-2003 Механические транспортные средства и прицепы. Классификация и определения" style="width:11.3pt;height:12.9pt"/>
        </w:pict>
      </w:r>
      <w:r>
        <w:rPr>
          <w:color w:val="2D2D2D"/>
          <w:sz w:val="15"/>
          <w:szCs w:val="15"/>
        </w:rPr>
        <w:t>- по Директиве 95/1 ЕС.</w:t>
      </w:r>
      <w:r>
        <w:rPr>
          <w:color w:val="2D2D2D"/>
          <w:sz w:val="15"/>
          <w:szCs w:val="15"/>
        </w:rPr>
        <w:br/>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Масса снаряженного транспортного средства категории </w:t>
      </w:r>
      <w:r>
        <w:rPr>
          <w:color w:val="2D2D2D"/>
          <w:sz w:val="15"/>
          <w:szCs w:val="15"/>
        </w:rPr>
        <w:pict>
          <v:shape id="_x0000_i1053"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ненагруженного транспортного средства с учетом массы:</w:t>
      </w:r>
      <w:r>
        <w:rPr>
          <w:color w:val="2D2D2D"/>
          <w:sz w:val="15"/>
          <w:szCs w:val="15"/>
        </w:rPr>
        <w:br/>
      </w:r>
      <w:r>
        <w:rPr>
          <w:color w:val="2D2D2D"/>
          <w:sz w:val="15"/>
          <w:szCs w:val="15"/>
        </w:rPr>
        <w:br/>
        <w:t>- топлива в баке, заполненном не менее чем до 90% объема, установленного изготовителем;</w:t>
      </w:r>
      <w:r>
        <w:rPr>
          <w:color w:val="2D2D2D"/>
          <w:sz w:val="15"/>
          <w:szCs w:val="15"/>
        </w:rPr>
        <w:br/>
      </w:r>
      <w:r>
        <w:rPr>
          <w:color w:val="2D2D2D"/>
          <w:sz w:val="15"/>
          <w:szCs w:val="15"/>
        </w:rPr>
        <w:br/>
        <w:t xml:space="preserve">- оборудования, как правило, придаваемого изготовителем в дополнение к </w:t>
      </w:r>
      <w:proofErr w:type="gramStart"/>
      <w:r>
        <w:rPr>
          <w:color w:val="2D2D2D"/>
          <w:sz w:val="15"/>
          <w:szCs w:val="15"/>
        </w:rPr>
        <w:t>необходимому</w:t>
      </w:r>
      <w:proofErr w:type="gramEnd"/>
      <w:r>
        <w:rPr>
          <w:color w:val="2D2D2D"/>
          <w:sz w:val="15"/>
          <w:szCs w:val="15"/>
        </w:rPr>
        <w:t xml:space="preserve"> для нормальной эксплуатации (контейнер для инструментов, багажник, ветровой щиток, защитное оборудование и т.п.). </w:t>
      </w:r>
      <w:r>
        <w:rPr>
          <w:color w:val="2D2D2D"/>
          <w:sz w:val="15"/>
          <w:szCs w:val="15"/>
        </w:rPr>
        <w:br/>
      </w:r>
      <w:r>
        <w:rPr>
          <w:color w:val="2D2D2D"/>
          <w:sz w:val="15"/>
          <w:szCs w:val="15"/>
        </w:rPr>
        <w:br/>
        <w:t>Если транспортное средство работает на смеси топлива с маслом, то:</w:t>
      </w:r>
      <w:r>
        <w:rPr>
          <w:color w:val="2D2D2D"/>
          <w:sz w:val="15"/>
          <w:szCs w:val="15"/>
        </w:rPr>
        <w:br/>
      </w:r>
      <w:r>
        <w:rPr>
          <w:color w:val="2D2D2D"/>
          <w:sz w:val="15"/>
          <w:szCs w:val="15"/>
        </w:rPr>
        <w:br/>
        <w:t>- в случае, когда топливо заранее смешивают с маслом, термин "топливо" подразумевает такую предварительно подготовленную смесь;</w:t>
      </w:r>
      <w:r>
        <w:rPr>
          <w:color w:val="2D2D2D"/>
          <w:sz w:val="15"/>
          <w:szCs w:val="15"/>
        </w:rPr>
        <w:br/>
      </w:r>
      <w:r>
        <w:rPr>
          <w:color w:val="2D2D2D"/>
          <w:sz w:val="15"/>
          <w:szCs w:val="15"/>
        </w:rPr>
        <w:br/>
        <w:t>- в случае, когда топливо и масло заправляют раздельно, термин "топливо" означает только топливо. В этом случае масса масла уже учтена при определении массы ненагруженного транспортного средства*.</w:t>
      </w:r>
      <w:r>
        <w:rPr>
          <w:color w:val="2D2D2D"/>
          <w:sz w:val="15"/>
          <w:szCs w:val="15"/>
        </w:rPr>
        <w:br/>
        <w:t>___________________</w:t>
      </w:r>
      <w:r>
        <w:rPr>
          <w:color w:val="2D2D2D"/>
          <w:sz w:val="15"/>
          <w:szCs w:val="15"/>
        </w:rPr>
        <w:br/>
      </w:r>
      <w:r>
        <w:rPr>
          <w:color w:val="2D2D2D"/>
          <w:sz w:val="15"/>
          <w:szCs w:val="15"/>
        </w:rPr>
        <w:lastRenderedPageBreak/>
        <w:t>* Определение массы снаряженного транспортного средства категории </w:t>
      </w:r>
      <w:r>
        <w:rPr>
          <w:color w:val="2D2D2D"/>
          <w:sz w:val="15"/>
          <w:szCs w:val="15"/>
        </w:rPr>
        <w:pict>
          <v:shape id="_x0000_i1054"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Категория M - механические транспортные средства, имеющие не менее четырех колес и используемые для перевозки пассажиров</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Категория </w:t>
      </w:r>
      <w:r>
        <w:rPr>
          <w:color w:val="2D2D2D"/>
          <w:sz w:val="15"/>
          <w:szCs w:val="15"/>
        </w:rPr>
        <w:pict>
          <v:shape id="_x0000_i1055"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используемые для перевозки пассажиров и имеющие, помимо места водителя, не более восьми мест для сидения (</w:t>
      </w:r>
      <w:proofErr w:type="gramStart"/>
      <w:r>
        <w:rPr>
          <w:color w:val="2D2D2D"/>
          <w:sz w:val="15"/>
          <w:szCs w:val="15"/>
        </w:rPr>
        <w:t>см</w:t>
      </w:r>
      <w:proofErr w:type="gramEnd"/>
      <w:r>
        <w:rPr>
          <w:color w:val="2D2D2D"/>
          <w:sz w:val="15"/>
          <w:szCs w:val="15"/>
        </w:rPr>
        <w:t>. также 9.1).</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Категория </w:t>
      </w:r>
      <w:r>
        <w:rPr>
          <w:color w:val="2D2D2D"/>
          <w:sz w:val="15"/>
          <w:szCs w:val="15"/>
        </w:rPr>
        <w:pict>
          <v:shape id="_x0000_i1056" type="#_x0000_t75" alt="ГОСТ Р 52051-2003 Механические транспортные средства и прицепы. Классификация и определения" style="width:20.4pt;height:17.2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не превышает 5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Категория </w:t>
      </w:r>
      <w:r>
        <w:rPr>
          <w:color w:val="2D2D2D"/>
          <w:sz w:val="15"/>
          <w:szCs w:val="15"/>
        </w:rPr>
        <w:pict>
          <v:shape id="_x0000_i1057" type="#_x0000_t75" alt="ГОСТ Р 52051-2003 Механические транспортные средства и прицепы. Классификация и определения" style="width:18.8pt;height:17.75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превышает 5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Транспортные средства категорий </w:t>
      </w:r>
      <w:r>
        <w:rPr>
          <w:color w:val="2D2D2D"/>
          <w:sz w:val="15"/>
          <w:szCs w:val="15"/>
        </w:rPr>
        <w:pict>
          <v:shape id="_x0000_i1058"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1059" type="#_x0000_t75" alt="ГОСТ Р 52051-2003 Механические транспортные средства и прицепы. Классификация и определения" style="width:18.8pt;height:17.75pt"/>
        </w:pict>
      </w:r>
      <w:r>
        <w:rPr>
          <w:color w:val="2D2D2D"/>
          <w:sz w:val="15"/>
          <w:szCs w:val="15"/>
        </w:rPr>
        <w:t> относят:</w:t>
      </w:r>
      <w:r>
        <w:rPr>
          <w:color w:val="2D2D2D"/>
          <w:sz w:val="15"/>
          <w:szCs w:val="15"/>
        </w:rPr>
        <w:br/>
      </w:r>
      <w:r>
        <w:rPr>
          <w:color w:val="2D2D2D"/>
          <w:sz w:val="15"/>
          <w:szCs w:val="15"/>
        </w:rPr>
        <w:br/>
        <w:t>- к одному или более из трех классов (I, II, III) по </w:t>
      </w:r>
      <w:r w:rsidRPr="004B1F77">
        <w:rPr>
          <w:color w:val="2D2D2D"/>
          <w:sz w:val="15"/>
          <w:szCs w:val="15"/>
        </w:rPr>
        <w:t xml:space="preserve">ГОСТ </w:t>
      </w:r>
      <w:proofErr w:type="gramStart"/>
      <w:r w:rsidRPr="004B1F77">
        <w:rPr>
          <w:color w:val="2D2D2D"/>
          <w:sz w:val="15"/>
          <w:szCs w:val="15"/>
        </w:rPr>
        <w:t>Р</w:t>
      </w:r>
      <w:proofErr w:type="gramEnd"/>
      <w:r w:rsidRPr="004B1F77">
        <w:rPr>
          <w:color w:val="2D2D2D"/>
          <w:sz w:val="15"/>
          <w:szCs w:val="15"/>
        </w:rPr>
        <w:t xml:space="preserve"> 41.36</w:t>
      </w:r>
      <w:r>
        <w:rPr>
          <w:color w:val="2D2D2D"/>
          <w:sz w:val="15"/>
          <w:szCs w:val="15"/>
        </w:rPr>
        <w:t> и </w:t>
      </w:r>
      <w:r w:rsidRPr="004B1F77">
        <w:rPr>
          <w:color w:val="2D2D2D"/>
          <w:sz w:val="15"/>
          <w:szCs w:val="15"/>
        </w:rPr>
        <w:t>ГОСТ Р 41.107</w:t>
      </w:r>
      <w:r>
        <w:rPr>
          <w:color w:val="2D2D2D"/>
          <w:sz w:val="15"/>
          <w:szCs w:val="15"/>
        </w:rPr>
        <w:t>;</w:t>
      </w:r>
      <w:r>
        <w:rPr>
          <w:color w:val="2D2D2D"/>
          <w:sz w:val="15"/>
          <w:szCs w:val="15"/>
        </w:rPr>
        <w:br/>
      </w:r>
      <w:r>
        <w:rPr>
          <w:color w:val="2D2D2D"/>
          <w:sz w:val="15"/>
          <w:szCs w:val="15"/>
        </w:rPr>
        <w:br/>
        <w:t>- к одному из двух классов (А, В) по </w:t>
      </w:r>
      <w:r w:rsidRPr="004B1F77">
        <w:rPr>
          <w:color w:val="2D2D2D"/>
          <w:sz w:val="15"/>
          <w:szCs w:val="15"/>
        </w:rPr>
        <w:t>ГОСТ Р 41.52</w:t>
      </w:r>
      <w:r>
        <w:rPr>
          <w:color w:val="2D2D2D"/>
          <w:sz w:val="15"/>
          <w:szCs w:val="15"/>
        </w:rPr>
        <w:t>.</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 Класс I. Транспортные средства, конструкцией которых предусмотрены зоны для стоящих пассажиров, обеспечивающие возможность </w:t>
      </w:r>
      <w:proofErr w:type="spellStart"/>
      <w:r>
        <w:rPr>
          <w:color w:val="2D2D2D"/>
          <w:sz w:val="15"/>
          <w:szCs w:val="15"/>
        </w:rPr>
        <w:t>пассажирообмена</w:t>
      </w:r>
      <w:proofErr w:type="spellEnd"/>
      <w:r>
        <w:rPr>
          <w:color w:val="2D2D2D"/>
          <w:sz w:val="15"/>
          <w:szCs w:val="15"/>
        </w:rPr>
        <w:t>.</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Класс II. Транспортные средства, сконструированные для перевозки главным образом сидящих пассажиров, в которых может предусматриваться перевозка стоящих пассажиров, находящихся в проходах и/или в зонах, не превосходящих по своей площади пространства, необходимого для размещения двух двойных сидений.</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Класс III. Транспортные средства, сконструированные исключительно для перевозки сидящих пассажиров.</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Класс А. Транспортные средства, конструкцией которых предусмотрена перевозка стоящих пассажиров. Транспортное средство этого класса имеет сиденья, но может также предусматривать перевозку стоящих пассажиров.</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Класс В. Транспортные средства, не предназначенные для перевозки стоящих пассажиров. Транспортное средство этого класса не имеет оборудования, предназначенного для стоящих пассажиров.</w:t>
      </w:r>
      <w:r>
        <w:rPr>
          <w:color w:val="2D2D2D"/>
          <w:sz w:val="15"/>
          <w:szCs w:val="15"/>
        </w:rPr>
        <w:br/>
      </w:r>
      <w:r>
        <w:rPr>
          <w:color w:val="2D2D2D"/>
          <w:sz w:val="15"/>
          <w:szCs w:val="15"/>
        </w:rPr>
        <w:br/>
        <w:t>Примечания </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Сочлененный автобус представляет собой транспортное средство, состоящее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r>
        <w:rPr>
          <w:color w:val="2D2D2D"/>
          <w:sz w:val="15"/>
          <w:szCs w:val="15"/>
        </w:rPr>
        <w:br/>
      </w:r>
      <w:proofErr w:type="gramEnd"/>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Сочлененные автобусы, состоящие из двух или более неразделяемых, но шарнирно сочлененных элементов, рассматриваются как одно транспортное средство.</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П</w:t>
      </w:r>
      <w:proofErr w:type="gramEnd"/>
      <w:r>
        <w:rPr>
          <w:color w:val="2D2D2D"/>
          <w:sz w:val="15"/>
          <w:szCs w:val="15"/>
        </w:rPr>
        <w:t>од массой снаряженного транспортного средства в разделах 3 и 4 подразумевают массу порожнего транспортного средства с кузовом и сцепным устройством в случае автобуса-тягача либо массу шасси с кабиной, если предприятие-изготовитель не устанавливает кузов, и/или сцепным устройством. Эта масса включает в себя также массы охлаждающей жидкости, масел, 90% топлива, 100% других жидкостей (за исключением сточных вод), инструментов, запасного колеса, водителя (75 кг) и (для городских и междугородних автобусов) члена экипажа (75 кг), если в транспортном средстве предусмотрено сиденье для него.</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Категория N - механические транспортные средства, имеющие не менее четырех колес и предназначенные для перевозки грузов</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Категория </w:t>
      </w:r>
      <w:r>
        <w:rPr>
          <w:color w:val="2D2D2D"/>
          <w:sz w:val="15"/>
          <w:szCs w:val="15"/>
        </w:rPr>
        <w:pict>
          <v:shape id="_x0000_i1060" type="#_x0000_t75" alt="ГОСТ Р 52051-2003 Механические транспортные средства и прицепы. Классификация и определения" style="width:15.6pt;height:17.2pt"/>
        </w:pict>
      </w:r>
      <w:r>
        <w:rPr>
          <w:color w:val="2D2D2D"/>
          <w:sz w:val="15"/>
          <w:szCs w:val="15"/>
        </w:rPr>
        <w:t>. Транспортные средства, предназначенные для перевозки грузов, имеющие максимальную массу не более 3,5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Категория </w:t>
      </w:r>
      <w:r>
        <w:rPr>
          <w:color w:val="2D2D2D"/>
          <w:sz w:val="15"/>
          <w:szCs w:val="15"/>
        </w:rPr>
        <w:pict>
          <v:shape id="_x0000_i1061"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предназначенные для перевозки грузов, имеющие максимальную массу свыше 3,5 т, но не более 12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Категория </w:t>
      </w:r>
      <w:r>
        <w:rPr>
          <w:color w:val="2D2D2D"/>
          <w:sz w:val="15"/>
          <w:szCs w:val="15"/>
        </w:rPr>
        <w:pict>
          <v:shape id="_x0000_i1062" type="#_x0000_t75" alt="ГОСТ Р 52051-2003 Механические транспортные средства и прицепы. Классификация и определения" style="width:17.2pt;height:17.75pt"/>
        </w:pict>
      </w:r>
      <w:r>
        <w:rPr>
          <w:color w:val="2D2D2D"/>
          <w:sz w:val="15"/>
          <w:szCs w:val="15"/>
        </w:rPr>
        <w:t>. Транспортные средства, предназначенные для перевозки грузов, имеющие максимальную массу более 12 т.</w:t>
      </w:r>
      <w:r>
        <w:rPr>
          <w:color w:val="2D2D2D"/>
          <w:sz w:val="15"/>
          <w:szCs w:val="15"/>
        </w:rPr>
        <w:br/>
      </w:r>
      <w:r>
        <w:rPr>
          <w:color w:val="2D2D2D"/>
          <w:sz w:val="15"/>
          <w:szCs w:val="15"/>
        </w:rPr>
        <w:br/>
        <w:t>Примечания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Оборудование и установки, находящиеся на ряде специальных транспортных средств (автокранах, передвижных ремонтных мастерских, рекламных транспортных средствах и т.п.), приравнивают к грузам.</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Категория O - прицепы (включая полуприцепы)</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Категория </w:t>
      </w:r>
      <w:r>
        <w:rPr>
          <w:color w:val="2D2D2D"/>
          <w:sz w:val="15"/>
          <w:szCs w:val="15"/>
        </w:rPr>
        <w:pict>
          <v:shape id="_x0000_i1063" type="#_x0000_t75" alt="ГОСТ Р 52051-2003 Механические транспортные средства и прицепы. Классификация и определения" style="width:15.6pt;height:17.2pt"/>
        </w:pict>
      </w:r>
      <w:r>
        <w:rPr>
          <w:color w:val="2D2D2D"/>
          <w:sz w:val="15"/>
          <w:szCs w:val="15"/>
        </w:rPr>
        <w:t>. Прицепы, максимальная масса которых не более 0,75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Категория </w:t>
      </w:r>
      <w:r>
        <w:rPr>
          <w:color w:val="2D2D2D"/>
          <w:sz w:val="15"/>
          <w:szCs w:val="15"/>
        </w:rPr>
        <w:pict>
          <v:shape id="_x0000_i1064"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свыше 0,75 т, но не более 3,5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Категория </w:t>
      </w:r>
      <w:r>
        <w:rPr>
          <w:color w:val="2D2D2D"/>
          <w:sz w:val="15"/>
          <w:szCs w:val="15"/>
        </w:rPr>
        <w:pict>
          <v:shape id="_x0000_i1065" type="#_x0000_t75" alt="ГОСТ Р 52051-2003 Механические транспортные средства и прицепы. Классификация и определения" style="width:17.2pt;height:17.75pt"/>
        </w:pict>
      </w:r>
      <w:r>
        <w:rPr>
          <w:color w:val="2D2D2D"/>
          <w:sz w:val="15"/>
          <w:szCs w:val="15"/>
        </w:rPr>
        <w:t>. Прицепы, максимальная масса которых свыше 3,5 т, но не более 10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Категория </w:t>
      </w:r>
      <w:r>
        <w:rPr>
          <w:color w:val="2D2D2D"/>
          <w:sz w:val="15"/>
          <w:szCs w:val="15"/>
        </w:rPr>
        <w:pict>
          <v:shape id="_x0000_i1066"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более 10 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К</w:t>
      </w:r>
      <w:proofErr w:type="gramEnd"/>
      <w:r>
        <w:rPr>
          <w:color w:val="2D2D2D"/>
          <w:sz w:val="15"/>
          <w:szCs w:val="15"/>
        </w:rPr>
        <w:t>роме того, прицепы категорий </w:t>
      </w:r>
      <w:r>
        <w:rPr>
          <w:noProof/>
          <w:color w:val="2D2D2D"/>
          <w:sz w:val="15"/>
          <w:szCs w:val="15"/>
        </w:rPr>
        <w:drawing>
          <wp:inline distT="0" distB="0" distL="0" distR="0">
            <wp:extent cx="546100" cy="218440"/>
            <wp:effectExtent l="19050" t="0" r="6350" b="0"/>
            <wp:docPr id="43" name="Рисунок 43"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2051-2003 Механические транспортные средства и прицепы. Классификация и определения"/>
                    <pic:cNvPicPr>
                      <a:picLocks noChangeAspect="1" noChangeArrowheads="1"/>
                    </pic:cNvPicPr>
                  </pic:nvPicPr>
                  <pic:blipFill>
                    <a:blip r:embed="rId8" cstate="print"/>
                    <a:srcRect/>
                    <a:stretch>
                      <a:fillRect/>
                    </a:stretch>
                  </pic:blipFill>
                  <pic:spPr bwMode="auto">
                    <a:xfrm>
                      <a:off x="0" y="0"/>
                      <a:ext cx="546100" cy="218440"/>
                    </a:xfrm>
                    <a:prstGeom prst="rect">
                      <a:avLst/>
                    </a:prstGeom>
                    <a:noFill/>
                    <a:ln w="9525">
                      <a:noFill/>
                      <a:miter lim="800000"/>
                      <a:headEnd/>
                      <a:tailEnd/>
                    </a:ln>
                  </pic:spPr>
                </pic:pic>
              </a:graphicData>
            </a:graphic>
          </wp:inline>
        </w:drawing>
      </w:r>
      <w:r>
        <w:rPr>
          <w:color w:val="2D2D2D"/>
          <w:sz w:val="15"/>
          <w:szCs w:val="15"/>
        </w:rPr>
        <w:t> относят к одному из следующих трех типов:</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полуприцеп - буксируемое транспортное средство,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позади центра масс транспортного средства (при равномерной загрузке) и которое оборудовано сцепным устройством, позволяющим передавать горизонтальную и вертикальную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полный прицеп - буксируемое транспортное средство, имеющее не менее двух осей и оборудованное буксирным устройством, которое может перемещаться вертикально (по отношению к прицепу) и служит для поворота передней ос</w:t>
      </w:r>
      <w:proofErr w:type="gramStart"/>
      <w:r>
        <w:rPr>
          <w:color w:val="2D2D2D"/>
          <w:sz w:val="15"/>
          <w:szCs w:val="15"/>
        </w:rPr>
        <w:t>и(</w:t>
      </w:r>
      <w:proofErr w:type="gramEnd"/>
      <w:r>
        <w:rPr>
          <w:color w:val="2D2D2D"/>
          <w:sz w:val="15"/>
          <w:szCs w:val="15"/>
        </w:rPr>
        <w:t>ей), но не передает какой-либо значительной статической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 </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прицеп с центральной осью - буксируемое транспортное средство, оборудованное буксирным устройством, которое не может перемещаться вертикально (по отношению к прицепу), и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вблизи центра масс транспортного средства (при равномерной загрузке) так, что на буксирующее транспортное средство передается только незначительная статическая вертикальная нагрузка, не превышающая либо 10% величины, соответствующей максимальной массе прицепа, либо 10 кН (в зависимости от того, какая из этих величин меньше).</w:t>
      </w:r>
      <w:r>
        <w:rPr>
          <w:color w:val="2D2D2D"/>
          <w:sz w:val="15"/>
          <w:szCs w:val="15"/>
        </w:rPr>
        <w:br/>
      </w:r>
      <w:r>
        <w:rPr>
          <w:color w:val="2D2D2D"/>
          <w:sz w:val="15"/>
          <w:szCs w:val="15"/>
        </w:rPr>
        <w:br/>
        <w:t>Примечание - Максимальной массой, которую необходимо учитывать при классификации полуприцепа или прицепа с центральной осью, является масса, соответствующая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транспортным средством.</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Транспортные средства специального назначения</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К</w:t>
      </w:r>
      <w:proofErr w:type="gramEnd"/>
      <w:r>
        <w:rPr>
          <w:color w:val="2D2D2D"/>
          <w:sz w:val="15"/>
          <w:szCs w:val="15"/>
        </w:rPr>
        <w:t xml:space="preserve"> транспортным средствам специального назначения относятся транспортные средства категорий </w:t>
      </w:r>
      <w:r>
        <w:rPr>
          <w:color w:val="2D2D2D"/>
          <w:sz w:val="15"/>
          <w:szCs w:val="15"/>
        </w:rPr>
        <w:pict>
          <v:shape id="_x0000_i1068" type="#_x0000_t75" alt="ГОСТ Р 52051-2003 Механические транспортные средства и прицепы. Классификация и определения" style="width:15.05pt;height:12.9pt"/>
        </w:pict>
      </w:r>
      <w:r>
        <w:rPr>
          <w:color w:val="2D2D2D"/>
          <w:sz w:val="15"/>
          <w:szCs w:val="15"/>
        </w:rPr>
        <w:t>, </w:t>
      </w:r>
      <w:r>
        <w:rPr>
          <w:color w:val="2D2D2D"/>
          <w:sz w:val="15"/>
          <w:szCs w:val="15"/>
        </w:rPr>
        <w:pict>
          <v:shape id="_x0000_i1069" type="#_x0000_t75" alt="ГОСТ Р 52051-2003 Механические транспортные средства и прицепы. Классификация и определения" style="width:12.9pt;height:14.5pt"/>
        </w:pict>
      </w:r>
      <w:r>
        <w:rPr>
          <w:color w:val="2D2D2D"/>
          <w:sz w:val="15"/>
          <w:szCs w:val="15"/>
        </w:rPr>
        <w:t> и </w:t>
      </w:r>
      <w:r>
        <w:rPr>
          <w:color w:val="2D2D2D"/>
          <w:sz w:val="15"/>
          <w:szCs w:val="15"/>
        </w:rPr>
        <w:pict>
          <v:shape id="_x0000_i1070" type="#_x0000_t75" alt="ГОСТ Р 52051-2003 Механические транспортные средства и прицепы. Классификация и определения" style="width:12.35pt;height:14.5pt"/>
        </w:pict>
      </w:r>
      <w:r>
        <w:rPr>
          <w:color w:val="2D2D2D"/>
          <w:sz w:val="15"/>
          <w:szCs w:val="15"/>
        </w:rPr>
        <w:t>, предназначенные для пассажирских и грузовых перевозок, связанных с выполнением специальных функций, для которых требуется наличие специального кузова и (или) специального оборудования: </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автомобиль-дом - транспортное средство специального назначения категории </w:t>
      </w:r>
      <w:r>
        <w:rPr>
          <w:color w:val="2D2D2D"/>
          <w:sz w:val="15"/>
          <w:szCs w:val="15"/>
        </w:rPr>
        <w:pict>
          <v:shape id="_x0000_i1071" type="#_x0000_t75" alt="ГОСТ Р 52051-2003 Механические транспортные средства и прицепы. Классификация и определения" style="width:17.75pt;height:17.2pt"/>
        </w:pict>
      </w:r>
      <w:r>
        <w:rPr>
          <w:color w:val="2D2D2D"/>
          <w:sz w:val="15"/>
          <w:szCs w:val="15"/>
        </w:rPr>
        <w:t xml:space="preserve">, сконструированное так, что оно включает жилой отсек, в котором </w:t>
      </w:r>
      <w:proofErr w:type="gramStart"/>
      <w:r>
        <w:rPr>
          <w:color w:val="2D2D2D"/>
          <w:sz w:val="15"/>
          <w:szCs w:val="15"/>
        </w:rPr>
        <w:t>имеется</w:t>
      </w:r>
      <w:proofErr w:type="gramEnd"/>
      <w:r>
        <w:rPr>
          <w:color w:val="2D2D2D"/>
          <w:sz w:val="15"/>
          <w:szCs w:val="15"/>
        </w:rPr>
        <w:t xml:space="preserve"> по меньшей мере следующее оборудование:</w:t>
      </w:r>
      <w:r>
        <w:rPr>
          <w:color w:val="2D2D2D"/>
          <w:sz w:val="15"/>
          <w:szCs w:val="15"/>
        </w:rPr>
        <w:br/>
      </w:r>
      <w:r>
        <w:rPr>
          <w:color w:val="2D2D2D"/>
          <w:sz w:val="15"/>
          <w:szCs w:val="15"/>
        </w:rPr>
        <w:br/>
        <w:t>- сиденья и стол; </w:t>
      </w:r>
      <w:r>
        <w:rPr>
          <w:color w:val="2D2D2D"/>
          <w:sz w:val="15"/>
          <w:szCs w:val="15"/>
        </w:rPr>
        <w:br/>
      </w:r>
      <w:r>
        <w:rPr>
          <w:color w:val="2D2D2D"/>
          <w:sz w:val="15"/>
          <w:szCs w:val="15"/>
        </w:rPr>
        <w:br/>
        <w:t>- спальные места, которые могут быть устроены из сидений; </w:t>
      </w:r>
      <w:r>
        <w:rPr>
          <w:color w:val="2D2D2D"/>
          <w:sz w:val="15"/>
          <w:szCs w:val="15"/>
        </w:rPr>
        <w:br/>
      </w:r>
      <w:r>
        <w:rPr>
          <w:color w:val="2D2D2D"/>
          <w:sz w:val="15"/>
          <w:szCs w:val="15"/>
        </w:rPr>
        <w:br/>
        <w:t>- кухонное оборудование; </w:t>
      </w:r>
      <w:r>
        <w:rPr>
          <w:color w:val="2D2D2D"/>
          <w:sz w:val="15"/>
          <w:szCs w:val="15"/>
        </w:rPr>
        <w:br/>
      </w:r>
      <w:r>
        <w:rPr>
          <w:color w:val="2D2D2D"/>
          <w:sz w:val="15"/>
          <w:szCs w:val="15"/>
        </w:rPr>
        <w:br/>
        <w:t>- оборудование и приспособления для хранения имущества. </w:t>
      </w:r>
      <w:r>
        <w:rPr>
          <w:color w:val="2D2D2D"/>
          <w:sz w:val="15"/>
          <w:szCs w:val="15"/>
        </w:rPr>
        <w:br/>
      </w:r>
      <w:r>
        <w:rPr>
          <w:color w:val="2D2D2D"/>
          <w:sz w:val="15"/>
          <w:szCs w:val="15"/>
        </w:rPr>
        <w:br/>
        <w:t>Это оборудование должно быть жестко закреплено в жилом отсеке; при этом стол может быть легкосъемным;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бронированное транспортное средство - транспортное средство, оснащенное пуленепробиваемой броневой обшивкой, предназначенной для защиты перевозимых пассажиров и/или грузов;</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транспортное средство медицинской помощи - автотранспортное средство категории М, предназначенное для перевозки больных или раненых и оснащенное специальным оборудованием;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6.1.4 автомобиль для ритуальных услуг (катафалк) - автотранспортное средство, предназначенное для перевозки умерших и оснащенное специальным оборудованием.</w:t>
      </w:r>
      <w:r>
        <w:rPr>
          <w:color w:val="2D2D2D"/>
          <w:sz w:val="15"/>
          <w:szCs w:val="15"/>
        </w:rPr>
        <w:br/>
      </w:r>
      <w:proofErr w:type="gramEnd"/>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Обозначение категории транспортного средства специального назначения должно дополняться символом "</w:t>
      </w:r>
      <w:r>
        <w:rPr>
          <w:color w:val="2D2D2D"/>
          <w:sz w:val="15"/>
          <w:szCs w:val="15"/>
        </w:rPr>
        <w:pict>
          <v:shape id="_x0000_i1072" type="#_x0000_t75" alt="ГОСТ Р 52051-2003 Механические транспортные средства и прицепы. Классификация и определения" style="width:12.35pt;height:14.5pt"/>
        </w:pict>
      </w:r>
      <w:r>
        <w:rPr>
          <w:color w:val="2D2D2D"/>
          <w:sz w:val="15"/>
          <w:szCs w:val="15"/>
        </w:rPr>
        <w:t>". Например, транспортное средство медицинской помощи категории </w:t>
      </w:r>
      <w:r>
        <w:rPr>
          <w:color w:val="2D2D2D"/>
          <w:sz w:val="15"/>
          <w:szCs w:val="15"/>
        </w:rPr>
        <w:pict>
          <v:shape id="_x0000_i1073" type="#_x0000_t75" alt="ГОСТ Р 52051-2003 Механические транспортные средства и прицепы. Классификация и определения" style="width:20.4pt;height:17.2pt"/>
        </w:pict>
      </w:r>
      <w:r>
        <w:rPr>
          <w:color w:val="2D2D2D"/>
          <w:sz w:val="15"/>
          <w:szCs w:val="15"/>
        </w:rPr>
        <w:t> должно иметь обозначение "</w:t>
      </w:r>
      <w:r>
        <w:rPr>
          <w:color w:val="2D2D2D"/>
          <w:sz w:val="15"/>
          <w:szCs w:val="15"/>
        </w:rPr>
        <w:pict>
          <v:shape id="_x0000_i1074" type="#_x0000_t75" alt="ГОСТ Р 52051-2003 Механические транспортные средства и прицепы. Классификация и определения" style="width:27.4pt;height:17.2pt"/>
        </w:pict>
      </w:r>
      <w:r>
        <w:rPr>
          <w:color w:val="2D2D2D"/>
          <w:sz w:val="15"/>
          <w:szCs w:val="15"/>
        </w:rPr>
        <w:t>". </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Категория T - сельскохозяйственные и лесохозяйственные тракторы</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Сельскохозяйственный и лесохозяйственный трактор - механическое транспортное средство на колесном или гусеничном ходу, имеющее не менее двух осей, функциональное назначение которого зависит в основном от его тягового усилия и которое сконструировано главным образом для буксировки, толкания, перевозки или приведения в действие определенных устройств, механизмов или прицепов, предназначенных для использования в сельском или лесном хозяйстве.</w:t>
      </w:r>
      <w:proofErr w:type="gramEnd"/>
      <w:r>
        <w:rPr>
          <w:color w:val="2D2D2D"/>
          <w:sz w:val="15"/>
          <w:szCs w:val="15"/>
        </w:rPr>
        <w:br/>
      </w:r>
      <w:r>
        <w:rPr>
          <w:color w:val="2D2D2D"/>
          <w:sz w:val="15"/>
          <w:szCs w:val="15"/>
        </w:rPr>
        <w:br/>
        <w:t>Такой трактор может быть приспособлен для перевозки грузов и обслуживающего персонала.</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Категория G - транспортные средства повышенной проходимости</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Определение</w:t>
      </w:r>
      <w:proofErr w:type="gramStart"/>
      <w:r>
        <w:rPr>
          <w:color w:val="2D2D2D"/>
          <w:sz w:val="15"/>
          <w:szCs w:val="15"/>
        </w:rPr>
        <w:t> </w:t>
      </w:r>
      <w:r>
        <w:rPr>
          <w:color w:val="2D2D2D"/>
          <w:sz w:val="15"/>
          <w:szCs w:val="15"/>
        </w:rPr>
        <w:br/>
      </w:r>
      <w:r>
        <w:rPr>
          <w:color w:val="2D2D2D"/>
          <w:sz w:val="15"/>
          <w:szCs w:val="15"/>
        </w:rPr>
        <w:br/>
        <w:t>К</w:t>
      </w:r>
      <w:proofErr w:type="gramEnd"/>
      <w:r>
        <w:rPr>
          <w:color w:val="2D2D2D"/>
          <w:sz w:val="15"/>
          <w:szCs w:val="15"/>
        </w:rPr>
        <w:t xml:space="preserve"> транспортным средствам повышенной проходимости относят транспортные средства категорий </w:t>
      </w:r>
      <w:r>
        <w:rPr>
          <w:color w:val="2D2D2D"/>
          <w:sz w:val="15"/>
          <w:szCs w:val="15"/>
        </w:rPr>
        <w:pict>
          <v:shape id="_x0000_i1075"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1076" type="#_x0000_t75" alt="ГОСТ Р 52051-2003 Механические транспортные средства и прицепы. Классификация и определения" style="width:12.9pt;height:14.5pt"/>
        </w:pict>
      </w:r>
      <w:r>
        <w:rPr>
          <w:color w:val="2D2D2D"/>
          <w:sz w:val="15"/>
          <w:szCs w:val="15"/>
        </w:rPr>
        <w:t>, удовлетворяющие требованиям настоящего раздела, соответствие которым проверяют в условиях, определяемых в 8.2 и 8.3.</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Транспортные средства категории </w:t>
      </w:r>
      <w:r>
        <w:rPr>
          <w:color w:val="2D2D2D"/>
          <w:sz w:val="15"/>
          <w:szCs w:val="15"/>
        </w:rPr>
        <w:pict>
          <v:shape id="_x0000_i1077"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а также транспортные средства категории </w:t>
      </w:r>
      <w:r>
        <w:rPr>
          <w:color w:val="2D2D2D"/>
          <w:sz w:val="15"/>
          <w:szCs w:val="15"/>
        </w:rPr>
        <w:pict>
          <v:shape id="_x0000_i1078" type="#_x0000_t75" alt="ГОСТ Р 52051-2003 Механические транспортные средства и прицепы. Классификация и определения" style="width:17.75pt;height:17.2pt"/>
        </w:pict>
      </w:r>
      <w:r>
        <w:rPr>
          <w:color w:val="2D2D2D"/>
          <w:sz w:val="15"/>
          <w:szCs w:val="15"/>
        </w:rPr>
        <w:t> считают транспортными средствами повышенной проходимости, если они имеют:</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lastRenderedPageBreak/>
        <w:br/>
        <w:t xml:space="preserve">- по меньшей </w:t>
      </w:r>
      <w:proofErr w:type="gramStart"/>
      <w:r>
        <w:rPr>
          <w:color w:val="2D2D2D"/>
          <w:sz w:val="15"/>
          <w:szCs w:val="15"/>
        </w:rPr>
        <w:t>мере</w:t>
      </w:r>
      <w:proofErr w:type="gramEnd"/>
      <w:r>
        <w:rPr>
          <w:color w:val="2D2D2D"/>
          <w:sz w:val="15"/>
          <w:szCs w:val="15"/>
        </w:rPr>
        <w:t xml:space="preserve"> один механизм блокировки дифференциала или один механизм аналогичного действия, и</w:t>
      </w:r>
      <w:r>
        <w:rPr>
          <w:color w:val="2D2D2D"/>
          <w:sz w:val="15"/>
          <w:szCs w:val="15"/>
        </w:rPr>
        <w:br/>
      </w:r>
      <w:r>
        <w:rPr>
          <w:color w:val="2D2D2D"/>
          <w:sz w:val="15"/>
          <w:szCs w:val="15"/>
        </w:rPr>
        <w:br/>
        <w:t>- если они (в случае одиночного транспортного средства) могут преодолевать подъем 30%. </w:t>
      </w:r>
      <w:r>
        <w:rPr>
          <w:color w:val="2D2D2D"/>
          <w:sz w:val="15"/>
          <w:szCs w:val="15"/>
        </w:rPr>
        <w:br/>
      </w:r>
      <w:r>
        <w:rPr>
          <w:color w:val="2D2D2D"/>
          <w:sz w:val="15"/>
          <w:szCs w:val="15"/>
        </w:rPr>
        <w:br/>
        <w:t>Кроме того, они должны удовлетворять по меньшей мере пяти из шести приведенных ниже требований:</w:t>
      </w:r>
      <w:r>
        <w:rPr>
          <w:color w:val="2D2D2D"/>
          <w:sz w:val="15"/>
          <w:szCs w:val="15"/>
        </w:rPr>
        <w:br/>
      </w:r>
      <w:r>
        <w:rPr>
          <w:color w:val="2D2D2D"/>
          <w:sz w:val="15"/>
          <w:szCs w:val="15"/>
        </w:rPr>
        <w:br/>
        <w:t>- угол въезда должен быть не менее 25°;</w:t>
      </w:r>
      <w:r>
        <w:rPr>
          <w:color w:val="2D2D2D"/>
          <w:sz w:val="15"/>
          <w:szCs w:val="15"/>
        </w:rPr>
        <w:br/>
      </w:r>
      <w:r>
        <w:rPr>
          <w:color w:val="2D2D2D"/>
          <w:sz w:val="15"/>
          <w:szCs w:val="15"/>
        </w:rPr>
        <w:br/>
        <w:t>- угол съезда должен быть не менее 20°; </w:t>
      </w:r>
      <w:r>
        <w:rPr>
          <w:color w:val="2D2D2D"/>
          <w:sz w:val="15"/>
          <w:szCs w:val="15"/>
        </w:rPr>
        <w:br/>
      </w:r>
      <w:r>
        <w:rPr>
          <w:color w:val="2D2D2D"/>
          <w:sz w:val="15"/>
          <w:szCs w:val="15"/>
        </w:rPr>
        <w:br/>
        <w:t>- угол продольной проходимости должен быть не менее 20°; </w:t>
      </w:r>
      <w:r>
        <w:rPr>
          <w:color w:val="2D2D2D"/>
          <w:sz w:val="15"/>
          <w:szCs w:val="15"/>
        </w:rPr>
        <w:br/>
      </w:r>
      <w:r>
        <w:rPr>
          <w:color w:val="2D2D2D"/>
          <w:sz w:val="15"/>
          <w:szCs w:val="15"/>
        </w:rPr>
        <w:br/>
        <w:t>- дорожный просвет под передней осью должен быть не менее 180 мм; </w:t>
      </w:r>
      <w:r>
        <w:rPr>
          <w:color w:val="2D2D2D"/>
          <w:sz w:val="15"/>
          <w:szCs w:val="15"/>
        </w:rPr>
        <w:br/>
      </w:r>
      <w:r>
        <w:rPr>
          <w:color w:val="2D2D2D"/>
          <w:sz w:val="15"/>
          <w:szCs w:val="15"/>
        </w:rPr>
        <w:br/>
        <w:t>- дорожный просвет под задней осью должен быть не менее 180 мм; </w:t>
      </w:r>
      <w:r>
        <w:rPr>
          <w:color w:val="2D2D2D"/>
          <w:sz w:val="15"/>
          <w:szCs w:val="15"/>
        </w:rPr>
        <w:br/>
      </w:r>
      <w:r>
        <w:rPr>
          <w:color w:val="2D2D2D"/>
          <w:sz w:val="15"/>
          <w:szCs w:val="15"/>
        </w:rPr>
        <w:br/>
        <w:t>- межосевой дорожный просвет должен быть не менее 200 мм.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Транспортные средства категории </w:t>
      </w:r>
      <w:r>
        <w:rPr>
          <w:color w:val="2D2D2D"/>
          <w:sz w:val="15"/>
          <w:szCs w:val="15"/>
        </w:rPr>
        <w:pict>
          <v:shape id="_x0000_i1079"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свыше 2 т, или транспортные средства категорий </w:t>
      </w:r>
      <w:r>
        <w:rPr>
          <w:color w:val="2D2D2D"/>
          <w:sz w:val="15"/>
          <w:szCs w:val="15"/>
        </w:rPr>
        <w:pict>
          <v:shape id="_x0000_i1080" type="#_x0000_t75" alt="ГОСТ Р 52051-2003 Механические транспортные средства и прицепы. Классификация и определения" style="width:17.75pt;height:17.2pt"/>
        </w:pict>
      </w:r>
      <w:r>
        <w:rPr>
          <w:color w:val="2D2D2D"/>
          <w:sz w:val="15"/>
          <w:szCs w:val="15"/>
        </w:rPr>
        <w:t>, </w:t>
      </w:r>
      <w:r>
        <w:rPr>
          <w:color w:val="2D2D2D"/>
          <w:sz w:val="15"/>
          <w:szCs w:val="15"/>
        </w:rPr>
        <w:pict>
          <v:shape id="_x0000_i1081" type="#_x0000_t75" alt="ГОСТ Р 52051-2003 Механические транспортные средства и прицепы. Классификация и определения" style="width:20.4pt;height:17.2pt"/>
        </w:pict>
      </w:r>
      <w:r>
        <w:rPr>
          <w:color w:val="2D2D2D"/>
          <w:sz w:val="15"/>
          <w:szCs w:val="15"/>
        </w:rPr>
        <w:t> или </w:t>
      </w:r>
      <w:r>
        <w:rPr>
          <w:color w:val="2D2D2D"/>
          <w:sz w:val="15"/>
          <w:szCs w:val="15"/>
        </w:rPr>
        <w:pict>
          <v:shape id="_x0000_i1082"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 </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одна передняя и одна задняя оси имеют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br/>
        <w:t xml:space="preserve">-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r>
        <w:rPr>
          <w:color w:val="2D2D2D"/>
          <w:sz w:val="15"/>
          <w:szCs w:val="15"/>
        </w:rPr>
        <w:br/>
        <w:t>- транспортные средства (в случае одиночного транспортного средства) могут преодолевать подъем 25%.</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Транспортные средства категории </w:t>
      </w:r>
      <w:r>
        <w:rPr>
          <w:color w:val="2D2D2D"/>
          <w:sz w:val="15"/>
          <w:szCs w:val="15"/>
        </w:rPr>
        <w:pict>
          <v:shape id="_x0000_i1083"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свыше 12 т, и транспортные средства категории </w:t>
      </w:r>
      <w:r>
        <w:rPr>
          <w:color w:val="2D2D2D"/>
          <w:sz w:val="15"/>
          <w:szCs w:val="15"/>
        </w:rPr>
        <w:pict>
          <v:shape id="_x0000_i1084" type="#_x0000_t75" alt="ГОСТ Р 52051-2003 Механические транспортные средства и прицепы. Классификация и определения" style="width:17.2pt;height:17.75pt"/>
        </w:pict>
      </w:r>
      <w:r>
        <w:rPr>
          <w:color w:val="2D2D2D"/>
          <w:sz w:val="15"/>
          <w:szCs w:val="15"/>
        </w:rPr>
        <w:t>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по меньшей </w:t>
      </w:r>
      <w:proofErr w:type="gramStart"/>
      <w:r>
        <w:rPr>
          <w:color w:val="2D2D2D"/>
          <w:sz w:val="15"/>
          <w:szCs w:val="15"/>
        </w:rPr>
        <w:t>мере</w:t>
      </w:r>
      <w:proofErr w:type="gramEnd"/>
      <w:r>
        <w:rPr>
          <w:color w:val="2D2D2D"/>
          <w:sz w:val="15"/>
          <w:szCs w:val="15"/>
        </w:rPr>
        <w:t xml:space="preserve"> половина осей имеет привод;</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транспортные средства (в случае одиночного транспортного средства) могут преодолевать подъем 25%;</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w:t>
      </w:r>
      <w:proofErr w:type="gramStart"/>
      <w:r>
        <w:rPr>
          <w:color w:val="2D2D2D"/>
          <w:sz w:val="15"/>
          <w:szCs w:val="15"/>
        </w:rPr>
        <w:t>соблюдаются</w:t>
      </w:r>
      <w:proofErr w:type="gramEnd"/>
      <w:r>
        <w:rPr>
          <w:color w:val="2D2D2D"/>
          <w:sz w:val="15"/>
          <w:szCs w:val="15"/>
        </w:rPr>
        <w:t xml:space="preserve"> по меньшей мере четыре из шести следующих требований:</w:t>
      </w:r>
      <w:r>
        <w:rPr>
          <w:color w:val="2D2D2D"/>
          <w:sz w:val="15"/>
          <w:szCs w:val="15"/>
        </w:rPr>
        <w:br/>
      </w:r>
      <w:r>
        <w:rPr>
          <w:color w:val="2D2D2D"/>
          <w:sz w:val="15"/>
          <w:szCs w:val="15"/>
        </w:rPr>
        <w:br/>
        <w:t>- угол въезда должен быть не менее 25°; </w:t>
      </w:r>
      <w:r>
        <w:rPr>
          <w:color w:val="2D2D2D"/>
          <w:sz w:val="15"/>
          <w:szCs w:val="15"/>
        </w:rPr>
        <w:br/>
      </w:r>
      <w:r>
        <w:rPr>
          <w:color w:val="2D2D2D"/>
          <w:sz w:val="15"/>
          <w:szCs w:val="15"/>
        </w:rPr>
        <w:br/>
        <w:t>- угол съезда должен быть не менее 25°; </w:t>
      </w:r>
      <w:r>
        <w:rPr>
          <w:color w:val="2D2D2D"/>
          <w:sz w:val="15"/>
          <w:szCs w:val="15"/>
        </w:rPr>
        <w:br/>
      </w:r>
      <w:r>
        <w:rPr>
          <w:color w:val="2D2D2D"/>
          <w:sz w:val="15"/>
          <w:szCs w:val="15"/>
        </w:rPr>
        <w:br/>
        <w:t>- угол продольной проходимости должен быть не менее 25°; </w:t>
      </w:r>
      <w:r>
        <w:rPr>
          <w:color w:val="2D2D2D"/>
          <w:sz w:val="15"/>
          <w:szCs w:val="15"/>
        </w:rPr>
        <w:br/>
      </w:r>
      <w:r>
        <w:rPr>
          <w:color w:val="2D2D2D"/>
          <w:sz w:val="15"/>
          <w:szCs w:val="15"/>
        </w:rPr>
        <w:br/>
        <w:t>- дорожный просвет под передней осью должен быть не менее 250 мм; </w:t>
      </w:r>
      <w:r>
        <w:rPr>
          <w:color w:val="2D2D2D"/>
          <w:sz w:val="15"/>
          <w:szCs w:val="15"/>
        </w:rPr>
        <w:br/>
      </w:r>
      <w:r>
        <w:rPr>
          <w:color w:val="2D2D2D"/>
          <w:sz w:val="15"/>
          <w:szCs w:val="15"/>
        </w:rPr>
        <w:br/>
        <w:t>- межосевой дорожный просвет должен быть не менее 300 мм; </w:t>
      </w:r>
      <w:r>
        <w:rPr>
          <w:color w:val="2D2D2D"/>
          <w:sz w:val="15"/>
          <w:szCs w:val="15"/>
        </w:rPr>
        <w:br/>
      </w:r>
      <w:r>
        <w:rPr>
          <w:color w:val="2D2D2D"/>
          <w:sz w:val="15"/>
          <w:szCs w:val="15"/>
        </w:rPr>
        <w:br/>
        <w:t>- дорожный просвет под задней осью должен быть не менее 250 мм.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Нагрузка и условия проверки</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8.2.1 Транспортные средства категории </w:t>
      </w:r>
      <w:r>
        <w:rPr>
          <w:color w:val="2D2D2D"/>
          <w:sz w:val="15"/>
          <w:szCs w:val="15"/>
        </w:rPr>
        <w:pict>
          <v:shape id="_x0000_i1085"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и транспортные средства категории </w:t>
      </w:r>
      <w:r>
        <w:rPr>
          <w:color w:val="2D2D2D"/>
          <w:sz w:val="15"/>
          <w:szCs w:val="15"/>
        </w:rPr>
        <w:pict>
          <v:shape id="_x0000_i1086" type="#_x0000_t75" alt="ГОСТ Р 52051-2003 Механические транспортные средства и прицепы. Классификация и определения" style="width:17.75pt;height:17.2pt"/>
        </w:pict>
      </w:r>
      <w:r>
        <w:rPr>
          <w:color w:val="2D2D2D"/>
          <w:sz w:val="15"/>
          <w:szCs w:val="15"/>
        </w:rPr>
        <w:t>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w:t>
      </w:r>
      <w:r>
        <w:rPr>
          <w:color w:val="2D2D2D"/>
          <w:sz w:val="15"/>
          <w:szCs w:val="15"/>
        </w:rPr>
        <w:br/>
      </w:r>
      <w:proofErr w:type="gramEnd"/>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Механические транспортные средства, не указанные в 8.2.1, должны быть загружены до технически допустимой максимальной массы, устанавливаемой предприятием-изготовителем.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8.2.3 Способность транспортного средства преодолевать подъем установленного значения (25% или 30%) подтверждается расчетным методом.</w:t>
      </w:r>
      <w:r>
        <w:rPr>
          <w:color w:val="2D2D2D"/>
          <w:sz w:val="15"/>
          <w:szCs w:val="15"/>
        </w:rPr>
        <w:br/>
      </w:r>
      <w:r>
        <w:rPr>
          <w:color w:val="2D2D2D"/>
          <w:sz w:val="15"/>
          <w:szCs w:val="15"/>
        </w:rPr>
        <w:br/>
        <w:t>Однако в исключительных случаях технические службы могут потребовать представления транспортного средства соответствующего типа для проведения реального испытания.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w:t>
      </w:r>
      <w:proofErr w:type="gramStart"/>
      <w:r>
        <w:rPr>
          <w:color w:val="2D2D2D"/>
          <w:sz w:val="15"/>
          <w:szCs w:val="15"/>
        </w:rPr>
        <w:t xml:space="preserve"> П</w:t>
      </w:r>
      <w:proofErr w:type="gramEnd"/>
      <w:r>
        <w:rPr>
          <w:color w:val="2D2D2D"/>
          <w:sz w:val="15"/>
          <w:szCs w:val="15"/>
        </w:rPr>
        <w:t xml:space="preserve">ри измерении углов переднего и заднего свеса, а также продольного угла проходимости </w:t>
      </w:r>
      <w:proofErr w:type="spellStart"/>
      <w:r>
        <w:rPr>
          <w:color w:val="2D2D2D"/>
          <w:sz w:val="15"/>
          <w:szCs w:val="15"/>
        </w:rPr>
        <w:t>надколесные</w:t>
      </w:r>
      <w:proofErr w:type="spellEnd"/>
      <w:r>
        <w:rPr>
          <w:color w:val="2D2D2D"/>
          <w:sz w:val="15"/>
          <w:szCs w:val="15"/>
        </w:rPr>
        <w:t xml:space="preserve"> защитные устройства не учитывают.</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Определения и рисунки, касающиеся углов переднего и заднего свеса, а также продольного угла проходимости и дорожного просвета</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w:t>
      </w:r>
      <w:r>
        <w:rPr>
          <w:b/>
          <w:bCs/>
          <w:color w:val="2D2D2D"/>
          <w:sz w:val="15"/>
          <w:szCs w:val="15"/>
        </w:rPr>
        <w:t>угол въезда</w:t>
      </w:r>
      <w:r>
        <w:rPr>
          <w:color w:val="2D2D2D"/>
          <w:sz w:val="15"/>
          <w:szCs w:val="15"/>
        </w:rPr>
        <w:t>: По международному стандарту ИСО 612 [1], пункт 6.10. См. рисунок 1.</w:t>
      </w:r>
      <w:r>
        <w:rPr>
          <w:color w:val="2D2D2D"/>
          <w:sz w:val="15"/>
          <w:szCs w:val="15"/>
        </w:rPr>
        <w:br/>
      </w:r>
    </w:p>
    <w:p w:rsidR="004B1F77" w:rsidRDefault="004B1F77" w:rsidP="004B1F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Угол въезда</w:t>
      </w:r>
    </w:p>
    <w:p w:rsidR="004B1F77" w:rsidRDefault="004B1F77" w:rsidP="004B1F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19225"/>
            <wp:effectExtent l="19050" t="0" r="0" b="0"/>
            <wp:docPr id="63" name="Рисунок 63"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2051-2003 Механические транспортные средства и прицепы. Классификация и определения"/>
                    <pic:cNvPicPr>
                      <a:picLocks noChangeAspect="1" noChangeArrowheads="1"/>
                    </pic:cNvPicPr>
                  </pic:nvPicPr>
                  <pic:blipFill>
                    <a:blip r:embed="rId9" cstate="print"/>
                    <a:srcRect/>
                    <a:stretch>
                      <a:fillRect/>
                    </a:stretch>
                  </pic:blipFill>
                  <pic:spPr bwMode="auto">
                    <a:xfrm>
                      <a:off x="0" y="0"/>
                      <a:ext cx="4763135" cy="1419225"/>
                    </a:xfrm>
                    <a:prstGeom prst="rect">
                      <a:avLst/>
                    </a:prstGeom>
                    <a:noFill/>
                    <a:ln w="9525">
                      <a:noFill/>
                      <a:miter lim="800000"/>
                      <a:headEnd/>
                      <a:tailEnd/>
                    </a:ln>
                  </pic:spPr>
                </pic:pic>
              </a:graphicData>
            </a:graphic>
          </wp:inline>
        </w:drawing>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w:t>
      </w:r>
      <w:r>
        <w:rPr>
          <w:b/>
          <w:bCs/>
          <w:color w:val="2D2D2D"/>
          <w:sz w:val="15"/>
          <w:szCs w:val="15"/>
        </w:rPr>
        <w:t>угол съезда:</w:t>
      </w:r>
      <w:r>
        <w:rPr>
          <w:color w:val="2D2D2D"/>
          <w:sz w:val="15"/>
          <w:szCs w:val="15"/>
        </w:rPr>
        <w:t> По международному стандарту ИСО 612, пункт 6.11. См. рисунок 2.</w:t>
      </w:r>
      <w:r>
        <w:rPr>
          <w:color w:val="2D2D2D"/>
          <w:sz w:val="15"/>
          <w:szCs w:val="15"/>
        </w:rPr>
        <w:br/>
      </w:r>
    </w:p>
    <w:p w:rsidR="004B1F77" w:rsidRDefault="004B1F77" w:rsidP="004B1F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Угол съезда</w:t>
      </w:r>
    </w:p>
    <w:p w:rsidR="004B1F77" w:rsidRDefault="004B1F77" w:rsidP="004B1F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962025"/>
            <wp:effectExtent l="19050" t="0" r="2540" b="0"/>
            <wp:docPr id="64" name="Рисунок 64"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2051-2003 Механические транспортные средства и прицепы. Классификация и определения"/>
                    <pic:cNvPicPr>
                      <a:picLocks noChangeAspect="1" noChangeArrowheads="1"/>
                    </pic:cNvPicPr>
                  </pic:nvPicPr>
                  <pic:blipFill>
                    <a:blip r:embed="rId10" cstate="print"/>
                    <a:srcRect/>
                    <a:stretch>
                      <a:fillRect/>
                    </a:stretch>
                  </pic:blipFill>
                  <pic:spPr bwMode="auto">
                    <a:xfrm>
                      <a:off x="0" y="0"/>
                      <a:ext cx="3807460" cy="962025"/>
                    </a:xfrm>
                    <a:prstGeom prst="rect">
                      <a:avLst/>
                    </a:prstGeom>
                    <a:noFill/>
                    <a:ln w="9525">
                      <a:noFill/>
                      <a:miter lim="800000"/>
                      <a:headEnd/>
                      <a:tailEnd/>
                    </a:ln>
                  </pic:spPr>
                </pic:pic>
              </a:graphicData>
            </a:graphic>
          </wp:inline>
        </w:drawing>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w:t>
      </w:r>
      <w:r>
        <w:rPr>
          <w:b/>
          <w:bCs/>
          <w:color w:val="2D2D2D"/>
          <w:sz w:val="15"/>
          <w:szCs w:val="15"/>
        </w:rPr>
        <w:t>продольный угол проходимости:</w:t>
      </w:r>
      <w:r>
        <w:rPr>
          <w:color w:val="2D2D2D"/>
          <w:sz w:val="15"/>
          <w:szCs w:val="15"/>
        </w:rPr>
        <w:t> По международному стандарту ИСО 612, пункт 6.9. См. рисунок 3.</w:t>
      </w:r>
      <w:r>
        <w:rPr>
          <w:color w:val="2D2D2D"/>
          <w:sz w:val="15"/>
          <w:szCs w:val="15"/>
        </w:rPr>
        <w:br/>
      </w:r>
      <w:r>
        <w:rPr>
          <w:color w:val="2D2D2D"/>
          <w:sz w:val="15"/>
          <w:szCs w:val="15"/>
        </w:rPr>
        <w:br/>
      </w:r>
    </w:p>
    <w:p w:rsidR="004B1F77" w:rsidRDefault="004B1F77" w:rsidP="004B1F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Продольный угол проходимости</w:t>
      </w:r>
    </w:p>
    <w:p w:rsidR="004B1F77" w:rsidRDefault="004B1F77" w:rsidP="004B1F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515110"/>
            <wp:effectExtent l="19050" t="0" r="2540" b="0"/>
            <wp:docPr id="65" name="Рисунок 6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2051-2003 Механические транспортные средства и прицепы. Классификация и определения"/>
                    <pic:cNvPicPr>
                      <a:picLocks noChangeAspect="1" noChangeArrowheads="1"/>
                    </pic:cNvPicPr>
                  </pic:nvPicPr>
                  <pic:blipFill>
                    <a:blip r:embed="rId11" cstate="print"/>
                    <a:srcRect/>
                    <a:stretch>
                      <a:fillRect/>
                    </a:stretch>
                  </pic:blipFill>
                  <pic:spPr bwMode="auto">
                    <a:xfrm>
                      <a:off x="0" y="0"/>
                      <a:ext cx="3807460" cy="1515110"/>
                    </a:xfrm>
                    <a:prstGeom prst="rect">
                      <a:avLst/>
                    </a:prstGeom>
                    <a:noFill/>
                    <a:ln w="9525">
                      <a:noFill/>
                      <a:miter lim="800000"/>
                      <a:headEnd/>
                      <a:tailEnd/>
                    </a:ln>
                  </pic:spPr>
                </pic:pic>
              </a:graphicData>
            </a:graphic>
          </wp:inline>
        </w:drawing>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w:t>
      </w:r>
      <w:r>
        <w:rPr>
          <w:b/>
          <w:bCs/>
          <w:color w:val="2D2D2D"/>
          <w:sz w:val="15"/>
          <w:szCs w:val="15"/>
        </w:rPr>
        <w:t>межосевой дорожный просвет:</w:t>
      </w:r>
      <w:r>
        <w:rPr>
          <w:color w:val="2D2D2D"/>
          <w:sz w:val="15"/>
          <w:szCs w:val="15"/>
        </w:rPr>
        <w:t>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рисунок 4.</w:t>
      </w:r>
      <w:r>
        <w:rPr>
          <w:color w:val="2D2D2D"/>
          <w:sz w:val="15"/>
          <w:szCs w:val="15"/>
        </w:rPr>
        <w:br/>
      </w:r>
    </w:p>
    <w:p w:rsidR="004B1F77" w:rsidRDefault="004B1F77" w:rsidP="004B1F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Межосевой дорожный просвет</w:t>
      </w:r>
    </w:p>
    <w:p w:rsidR="004B1F77" w:rsidRDefault="004B1F77" w:rsidP="004B1F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66850"/>
            <wp:effectExtent l="19050" t="0" r="0" b="0"/>
            <wp:docPr id="66" name="Рисунок 66"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2051-2003 Механические транспортные средства и прицепы. Классификация и определения"/>
                    <pic:cNvPicPr>
                      <a:picLocks noChangeAspect="1" noChangeArrowheads="1"/>
                    </pic:cNvPicPr>
                  </pic:nvPicPr>
                  <pic:blipFill>
                    <a:blip r:embed="rId12" cstate="print"/>
                    <a:srcRect/>
                    <a:stretch>
                      <a:fillRect/>
                    </a:stretch>
                  </pic:blipFill>
                  <pic:spPr bwMode="auto">
                    <a:xfrm>
                      <a:off x="0" y="0"/>
                      <a:ext cx="4763135" cy="1466850"/>
                    </a:xfrm>
                    <a:prstGeom prst="rect">
                      <a:avLst/>
                    </a:prstGeom>
                    <a:noFill/>
                    <a:ln w="9525">
                      <a:noFill/>
                      <a:miter lim="800000"/>
                      <a:headEnd/>
                      <a:tailEnd/>
                    </a:ln>
                  </pic:spPr>
                </pic:pic>
              </a:graphicData>
            </a:graphic>
          </wp:inline>
        </w:drawing>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4</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8.3.5 </w:t>
      </w:r>
      <w:r>
        <w:rPr>
          <w:b/>
          <w:bCs/>
          <w:color w:val="2D2D2D"/>
          <w:sz w:val="15"/>
          <w:szCs w:val="15"/>
        </w:rPr>
        <w:t>дорожный просвет под одной осью:</w:t>
      </w:r>
      <w:r>
        <w:rPr>
          <w:color w:val="2D2D2D"/>
          <w:sz w:val="15"/>
          <w:szCs w:val="15"/>
        </w:rPr>
        <w:t>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рисунок 5.</w:t>
      </w:r>
      <w:r>
        <w:rPr>
          <w:color w:val="2D2D2D"/>
          <w:sz w:val="15"/>
          <w:szCs w:val="15"/>
        </w:rPr>
        <w:br/>
      </w:r>
      <w:r>
        <w:rPr>
          <w:color w:val="2D2D2D"/>
          <w:sz w:val="15"/>
          <w:szCs w:val="15"/>
        </w:rPr>
        <w:br/>
      </w:r>
    </w:p>
    <w:p w:rsidR="004B1F77" w:rsidRDefault="004B1F77" w:rsidP="004B1F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Дорожный просвет под одной осью</w:t>
      </w:r>
    </w:p>
    <w:p w:rsidR="004B1F77" w:rsidRDefault="004B1F77" w:rsidP="004B1F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446530"/>
            <wp:effectExtent l="19050" t="0" r="3810" b="0"/>
            <wp:docPr id="67" name="Рисунок 67"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2051-2003 Механические транспортные средства и прицепы. Классификация и определения"/>
                    <pic:cNvPicPr>
                      <a:picLocks noChangeAspect="1" noChangeArrowheads="1"/>
                    </pic:cNvPicPr>
                  </pic:nvPicPr>
                  <pic:blipFill>
                    <a:blip r:embed="rId13" cstate="print"/>
                    <a:srcRect/>
                    <a:stretch>
                      <a:fillRect/>
                    </a:stretch>
                  </pic:blipFill>
                  <pic:spPr bwMode="auto">
                    <a:xfrm>
                      <a:off x="0" y="0"/>
                      <a:ext cx="3329940" cy="1446530"/>
                    </a:xfrm>
                    <a:prstGeom prst="rect">
                      <a:avLst/>
                    </a:prstGeom>
                    <a:noFill/>
                    <a:ln w="9525">
                      <a:noFill/>
                      <a:miter lim="800000"/>
                      <a:headEnd/>
                      <a:tailEnd/>
                    </a:ln>
                  </pic:spPr>
                </pic:pic>
              </a:graphicData>
            </a:graphic>
          </wp:inline>
        </w:drawing>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Ни одна жесткая часть транспортного средства не должна находиться, полностью или частично, в заштрихованной зоне рисунка. </w:t>
      </w:r>
      <w:r>
        <w:rPr>
          <w:color w:val="2D2D2D"/>
          <w:sz w:val="15"/>
          <w:szCs w:val="15"/>
        </w:rPr>
        <w:br/>
      </w:r>
      <w:r>
        <w:rPr>
          <w:color w:val="2D2D2D"/>
          <w:sz w:val="15"/>
          <w:szCs w:val="15"/>
        </w:rPr>
        <w:br/>
        <w:t>Дорожные просветы под несколькими осями указываются, в соответствующих случаях, исходя из последовательности их расположения, например "280/250/250".</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Комбинированное обозначение</w:t>
      </w:r>
      <w:r>
        <w:rPr>
          <w:color w:val="2D2D2D"/>
          <w:sz w:val="15"/>
          <w:szCs w:val="15"/>
        </w:rPr>
        <w:br/>
      </w:r>
      <w:r>
        <w:rPr>
          <w:color w:val="2D2D2D"/>
          <w:sz w:val="15"/>
          <w:szCs w:val="15"/>
        </w:rPr>
        <w:br/>
        <w:t>Буквы </w:t>
      </w:r>
      <w:r>
        <w:rPr>
          <w:color w:val="2D2D2D"/>
          <w:sz w:val="15"/>
          <w:szCs w:val="15"/>
        </w:rPr>
        <w:pict>
          <v:shape id="_x0000_i1092"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1093" type="#_x0000_t75" alt="ГОСТ Р 52051-2003 Механические транспортные средства и прицепы. Классификация и определения" style="width:12.9pt;height:14.5pt"/>
        </w:pict>
      </w:r>
      <w:r>
        <w:rPr>
          <w:color w:val="2D2D2D"/>
          <w:sz w:val="15"/>
          <w:szCs w:val="15"/>
        </w:rPr>
        <w:t> могут сочетаться с буквой </w:t>
      </w:r>
      <w:r>
        <w:rPr>
          <w:color w:val="2D2D2D"/>
          <w:sz w:val="15"/>
          <w:szCs w:val="15"/>
        </w:rPr>
        <w:pict>
          <v:shape id="_x0000_i1094" type="#_x0000_t75" alt="ГОСТ Р 52051-2003 Механические транспортные средства и прицепы. Классификация и определения" style="width:12.9pt;height:14.5pt"/>
        </w:pict>
      </w:r>
      <w:r>
        <w:rPr>
          <w:color w:val="2D2D2D"/>
          <w:sz w:val="15"/>
          <w:szCs w:val="15"/>
        </w:rPr>
        <w:t>.</w:t>
      </w:r>
      <w:r>
        <w:rPr>
          <w:color w:val="2D2D2D"/>
          <w:sz w:val="15"/>
          <w:szCs w:val="15"/>
        </w:rPr>
        <w:br/>
      </w:r>
      <w:r>
        <w:rPr>
          <w:color w:val="2D2D2D"/>
          <w:sz w:val="15"/>
          <w:szCs w:val="15"/>
        </w:rPr>
        <w:br/>
        <w:t>Например, транспортное средство категории </w:t>
      </w:r>
      <w:r>
        <w:rPr>
          <w:color w:val="2D2D2D"/>
          <w:sz w:val="15"/>
          <w:szCs w:val="15"/>
        </w:rPr>
        <w:pict>
          <v:shape id="_x0000_i1095" type="#_x0000_t75" alt="ГОСТ Р 52051-2003 Механические транспортные средства и прицепы. Классификация и определения" style="width:15.6pt;height:17.2pt"/>
        </w:pict>
      </w:r>
      <w:r>
        <w:rPr>
          <w:color w:val="2D2D2D"/>
          <w:sz w:val="15"/>
          <w:szCs w:val="15"/>
        </w:rPr>
        <w:t>, которое может использоваться как транспортное средство повышенной проходимости, допускается обозначать как </w:t>
      </w:r>
      <w:r>
        <w:rPr>
          <w:color w:val="2D2D2D"/>
          <w:sz w:val="15"/>
          <w:szCs w:val="15"/>
        </w:rPr>
        <w:pict>
          <v:shape id="_x0000_i1096" type="#_x0000_t75" alt="ГОСТ Р 52051-2003 Механические транспортные средства и прицепы. Классификация и определения" style="width:26.35pt;height:17.2pt"/>
        </w:pict>
      </w:r>
      <w:r>
        <w:rPr>
          <w:color w:val="2D2D2D"/>
          <w:sz w:val="15"/>
          <w:szCs w:val="15"/>
        </w:rPr>
        <w:t>.</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Определение типа кузова (только для комплектных транспортных средств)</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 кузова может обозначаться следующими буквами. </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Легковые автомобили (категория </w:t>
      </w:r>
      <w:r>
        <w:rPr>
          <w:color w:val="2D2D2D"/>
          <w:sz w:val="15"/>
          <w:szCs w:val="15"/>
        </w:rPr>
        <w:pict>
          <v:shape id="_x0000_i1097" type="#_x0000_t75" alt="ГОСТ Р 52051-2003 Механические транспортные средства и прицепы. Классификация и определения" style="width:17.75pt;height:17.2pt"/>
        </w:pict>
      </w:r>
      <w:r>
        <w:rPr>
          <w:b/>
          <w:bCs/>
          <w:color w:val="2D2D2D"/>
          <w:sz w:val="15"/>
          <w:szCs w:val="15"/>
        </w:rPr>
        <w:t>)</w:t>
      </w:r>
      <w:r>
        <w:rPr>
          <w:color w:val="2D2D2D"/>
          <w:sz w:val="15"/>
          <w:szCs w:val="15"/>
        </w:rPr>
        <w:br/>
      </w:r>
      <w:r>
        <w:rPr>
          <w:color w:val="2D2D2D"/>
          <w:sz w:val="15"/>
          <w:szCs w:val="15"/>
        </w:rPr>
        <w:br/>
        <w:t>АА - седан. Кузов - закрытый, с центральной стойкой между боковыми окнами или без нее. Крыша - жесткая, несъемная (часть ее при этом может открываться). Размещение сидений - не менее четырех мест для сидения не менее чем в двух рядах. Двери - две или четыре боковые; допускается также задняя дверь. Окна - не менее четырех боковых.</w:t>
      </w:r>
      <w:r>
        <w:rPr>
          <w:color w:val="2D2D2D"/>
          <w:sz w:val="15"/>
          <w:szCs w:val="15"/>
        </w:rPr>
        <w:br/>
      </w:r>
      <w:r>
        <w:rPr>
          <w:color w:val="2D2D2D"/>
          <w:sz w:val="15"/>
          <w:szCs w:val="15"/>
        </w:rPr>
        <w:br/>
      </w:r>
      <w:r>
        <w:rPr>
          <w:color w:val="2D2D2D"/>
          <w:sz w:val="15"/>
          <w:szCs w:val="15"/>
        </w:rPr>
        <w:lastRenderedPageBreak/>
        <w:t>Примечание - Здесь и далее под термином "окно" понимают проем для стекол, который может состоять из одного или нескольких стекол (например, вентиляционное окно является элементом окна).</w:t>
      </w:r>
      <w:r>
        <w:rPr>
          <w:color w:val="2D2D2D"/>
          <w:sz w:val="15"/>
          <w:szCs w:val="15"/>
        </w:rPr>
        <w:br/>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AB - </w:t>
      </w:r>
      <w:proofErr w:type="spellStart"/>
      <w:r>
        <w:rPr>
          <w:color w:val="2D2D2D"/>
          <w:sz w:val="15"/>
          <w:szCs w:val="15"/>
        </w:rPr>
        <w:t>хэтчбек</w:t>
      </w:r>
      <w:proofErr w:type="spellEnd"/>
      <w:r>
        <w:rPr>
          <w:color w:val="2D2D2D"/>
          <w:sz w:val="15"/>
          <w:szCs w:val="15"/>
        </w:rPr>
        <w:t>. Седан АА с открывающейся вверх задней дверью.</w:t>
      </w:r>
      <w:r>
        <w:rPr>
          <w:color w:val="2D2D2D"/>
          <w:sz w:val="15"/>
          <w:szCs w:val="15"/>
        </w:rPr>
        <w:br/>
      </w:r>
      <w:r>
        <w:rPr>
          <w:color w:val="2D2D2D"/>
          <w:sz w:val="15"/>
          <w:szCs w:val="15"/>
        </w:rPr>
        <w:br/>
        <w:t xml:space="preserve">АС - универсал. Кузов - закрытый. Форма задней части кузова обеспечивает увеличенный внутренний объем. Крыша - жесткая, несъемная (часть ее при этом может открываться). Размещение сидений - не менее четырех мест для сидения не менее чем в двух рядах. Один или более рядов сидений могут иметь откидывающиеся вперед спинки или выполняться </w:t>
      </w:r>
      <w:proofErr w:type="gramStart"/>
      <w:r>
        <w:rPr>
          <w:color w:val="2D2D2D"/>
          <w:sz w:val="15"/>
          <w:szCs w:val="15"/>
        </w:rPr>
        <w:t>съемными</w:t>
      </w:r>
      <w:proofErr w:type="gramEnd"/>
      <w:r>
        <w:rPr>
          <w:color w:val="2D2D2D"/>
          <w:sz w:val="15"/>
          <w:szCs w:val="15"/>
        </w:rPr>
        <w:t xml:space="preserve">, образуя грузовую платформу. Двери - две или четыре боковые и </w:t>
      </w:r>
      <w:proofErr w:type="gramStart"/>
      <w:r>
        <w:rPr>
          <w:color w:val="2D2D2D"/>
          <w:sz w:val="15"/>
          <w:szCs w:val="15"/>
        </w:rPr>
        <w:t>задняя</w:t>
      </w:r>
      <w:proofErr w:type="gramEnd"/>
      <w:r>
        <w:rPr>
          <w:color w:val="2D2D2D"/>
          <w:sz w:val="15"/>
          <w:szCs w:val="15"/>
        </w:rPr>
        <w:t>. Окна - не менее четырех боковых.</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AD - купе. Кузов - закрытый. Объем задней части кузова, как правило, ограничен. Крыша - жесткая, несъемная (часть ее при этом может открываться). Размещение сидений - не менее двух мест для сидения в одном или более рядах. Двери - две боковые; допускается также задняя дверь. Окна - два или более боковых. </w:t>
      </w:r>
      <w:r>
        <w:rPr>
          <w:color w:val="2D2D2D"/>
          <w:sz w:val="15"/>
          <w:szCs w:val="15"/>
        </w:rPr>
        <w:br/>
      </w:r>
      <w:r>
        <w:rPr>
          <w:color w:val="2D2D2D"/>
          <w:sz w:val="15"/>
          <w:szCs w:val="15"/>
        </w:rPr>
        <w:br/>
        <w:t>АЕ - кабриолет. Кузов - со съемной или убирающейся крышей. Крыша - мягкая или жесткая, устанавливаемая не менее чем в двух положениях: в одном положении закрывает кузов, в другом - отводится (откидывается) назад. Размещение сидений - не менее двух мест для сидения в одном или более рядах. Двери - две или четыре боковые. Окна - два или более боковых.*</w:t>
      </w:r>
      <w:r>
        <w:rPr>
          <w:color w:val="2D2D2D"/>
          <w:sz w:val="15"/>
          <w:szCs w:val="15"/>
        </w:rPr>
        <w:br/>
        <w:t>____________________</w:t>
      </w:r>
      <w:r>
        <w:rPr>
          <w:color w:val="2D2D2D"/>
          <w:sz w:val="15"/>
          <w:szCs w:val="15"/>
        </w:rPr>
        <w:br/>
        <w:t>* Определения кузовов типов АА, AC, AD и АЕ - по международному стандарту ИСО 3833 [2].</w:t>
      </w:r>
      <w:r>
        <w:rPr>
          <w:color w:val="2D2D2D"/>
          <w:sz w:val="15"/>
          <w:szCs w:val="15"/>
        </w:rPr>
        <w:br/>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AF - многоцелевое транспортное средство. </w:t>
      </w:r>
      <w:proofErr w:type="gramStart"/>
      <w:r>
        <w:rPr>
          <w:color w:val="2D2D2D"/>
          <w:sz w:val="15"/>
          <w:szCs w:val="15"/>
        </w:rPr>
        <w:t>Механическое транспортное средство иное, чем обозначенные кодами АА, АВ и АС, предназначенное для перевозки пассажиров и их багажа или грузов в одном отделении.</w:t>
      </w:r>
      <w:proofErr w:type="gramEnd"/>
      <w:r>
        <w:rPr>
          <w:color w:val="2D2D2D"/>
          <w:sz w:val="15"/>
          <w:szCs w:val="15"/>
        </w:rPr>
        <w:t xml:space="preserve"> Однако такое транспортное средство не считают относящимся к категории </w:t>
      </w:r>
      <w:r>
        <w:rPr>
          <w:color w:val="2D2D2D"/>
          <w:sz w:val="15"/>
          <w:szCs w:val="15"/>
        </w:rPr>
        <w:pict>
          <v:shape id="_x0000_i1098" type="#_x0000_t75" alt="ГОСТ Р 52051-2003 Механические транспортные средства и прицепы. Классификация и определения" style="width:17.75pt;height:17.2pt"/>
        </w:pict>
      </w:r>
      <w:r>
        <w:rPr>
          <w:color w:val="2D2D2D"/>
          <w:sz w:val="15"/>
          <w:szCs w:val="15"/>
        </w:rPr>
        <w:t>, если оно соответствует одновременно следующим требованиям:</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число мест для сидения, помимо места водителя, не превышает шести.</w:t>
      </w:r>
      <w:r>
        <w:rPr>
          <w:color w:val="2D2D2D"/>
          <w:sz w:val="15"/>
          <w:szCs w:val="15"/>
        </w:rPr>
        <w:br/>
      </w:r>
      <w:r>
        <w:rPr>
          <w:color w:val="2D2D2D"/>
          <w:sz w:val="15"/>
          <w:szCs w:val="15"/>
        </w:rPr>
        <w:br/>
        <w:t>Место для сидения признается существующим, если в транспортном средстве имеются доступные приспособления для крепления сидений.</w:t>
      </w:r>
      <w:r>
        <w:rPr>
          <w:color w:val="2D2D2D"/>
          <w:sz w:val="15"/>
          <w:szCs w:val="15"/>
        </w:rPr>
        <w:br/>
      </w:r>
      <w:r>
        <w:rPr>
          <w:color w:val="2D2D2D"/>
          <w:sz w:val="15"/>
          <w:szCs w:val="15"/>
        </w:rPr>
        <w:br/>
        <w:t xml:space="preserve">Под </w:t>
      </w:r>
      <w:proofErr w:type="gramStart"/>
      <w:r>
        <w:rPr>
          <w:color w:val="2D2D2D"/>
          <w:sz w:val="15"/>
          <w:szCs w:val="15"/>
        </w:rPr>
        <w:t>доступными</w:t>
      </w:r>
      <w:proofErr w:type="gramEnd"/>
      <w:r>
        <w:rPr>
          <w:color w:val="2D2D2D"/>
          <w:sz w:val="15"/>
          <w:szCs w:val="15"/>
        </w:rPr>
        <w:t xml:space="preserve"> следует понимать приспособления, которые можно использовать. Для того чтобы приспособления для крепления не были "доступными", изготовитель должен физически исключить возможность их использования, например, наварив на них пластины или установив на них постоянные заглушки, которые невозможно снять с помощью обычных инструментов.</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выполняется условие</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64970" cy="198120"/>
            <wp:effectExtent l="19050" t="0" r="0" b="0"/>
            <wp:docPr id="75" name="Рисунок 7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2051-2003 Механические транспортные средства и прицепы. Классификация и определения"/>
                    <pic:cNvPicPr>
                      <a:picLocks noChangeAspect="1" noChangeArrowheads="1"/>
                    </pic:cNvPicPr>
                  </pic:nvPicPr>
                  <pic:blipFill>
                    <a:blip r:embed="rId14" cstate="print"/>
                    <a:srcRect/>
                    <a:stretch>
                      <a:fillRect/>
                    </a:stretch>
                  </pic:blipFill>
                  <pic:spPr bwMode="auto">
                    <a:xfrm>
                      <a:off x="0" y="0"/>
                      <a:ext cx="1664970" cy="198120"/>
                    </a:xfrm>
                    <a:prstGeom prst="rect">
                      <a:avLst/>
                    </a:prstGeom>
                    <a:noFill/>
                    <a:ln w="9525">
                      <a:noFill/>
                      <a:miter lim="800000"/>
                      <a:headEnd/>
                      <a:tailEnd/>
                    </a:ln>
                  </pic:spPr>
                </pic:pic>
              </a:graphicData>
            </a:graphic>
          </wp:inline>
        </w:drawing>
      </w:r>
      <w:r>
        <w:rPr>
          <w:color w:val="2D2D2D"/>
          <w:sz w:val="15"/>
          <w:szCs w:val="15"/>
        </w:rPr>
        <w:t>,</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0" type="#_x0000_t75" alt="ГОСТ Р 52051-2003 Механические транспортные средства и прицепы. Классификация и определения" style="width:12.35pt;height:12.9pt"/>
        </w:pict>
      </w:r>
      <w:r>
        <w:rPr>
          <w:color w:val="2D2D2D"/>
          <w:sz w:val="15"/>
          <w:szCs w:val="15"/>
        </w:rPr>
        <w:t xml:space="preserve"> - технически допустимая максимальная масса груженого транспортного средства, </w:t>
      </w:r>
      <w:proofErr w:type="gramStart"/>
      <w:r>
        <w:rPr>
          <w:color w:val="2D2D2D"/>
          <w:sz w:val="15"/>
          <w:szCs w:val="15"/>
        </w:rPr>
        <w:t>кг</w:t>
      </w:r>
      <w:proofErr w:type="gramEnd"/>
      <w:r>
        <w:rPr>
          <w:color w:val="2D2D2D"/>
          <w:sz w:val="15"/>
          <w:szCs w:val="15"/>
        </w:rPr>
        <w:t>; </w:t>
      </w:r>
      <w:r>
        <w:rPr>
          <w:color w:val="2D2D2D"/>
          <w:sz w:val="15"/>
          <w:szCs w:val="15"/>
        </w:rPr>
        <w:br/>
      </w:r>
      <w:r>
        <w:rPr>
          <w:color w:val="2D2D2D"/>
          <w:sz w:val="15"/>
          <w:szCs w:val="15"/>
        </w:rPr>
        <w:br/>
      </w:r>
      <w:r>
        <w:rPr>
          <w:color w:val="2D2D2D"/>
          <w:sz w:val="15"/>
          <w:szCs w:val="15"/>
        </w:rPr>
        <w:pict>
          <v:shape id="_x0000_i1101" type="#_x0000_t75" alt="ГОСТ Р 52051-2003 Механические транспортные средства и прицепы. Классификация и определения" style="width:15.6pt;height:12.9pt"/>
        </w:pict>
      </w:r>
      <w:r>
        <w:rPr>
          <w:color w:val="2D2D2D"/>
          <w:sz w:val="15"/>
          <w:szCs w:val="15"/>
        </w:rPr>
        <w:t> - масса снаряженного транспортного средства, кг; </w:t>
      </w:r>
      <w:r>
        <w:rPr>
          <w:color w:val="2D2D2D"/>
          <w:sz w:val="15"/>
          <w:szCs w:val="15"/>
        </w:rPr>
        <w:br/>
      </w:r>
      <w:r>
        <w:rPr>
          <w:color w:val="2D2D2D"/>
          <w:sz w:val="15"/>
          <w:szCs w:val="15"/>
        </w:rPr>
        <w:br/>
      </w:r>
      <w:r>
        <w:rPr>
          <w:color w:val="2D2D2D"/>
          <w:sz w:val="15"/>
          <w:szCs w:val="15"/>
        </w:rPr>
        <w:pict>
          <v:shape id="_x0000_i1102" type="#_x0000_t75" alt="ГОСТ Р 52051-2003 Механические транспортные средства и прицепы. Классификация и определения" style="width:14.5pt;height:14.5pt"/>
        </w:pict>
      </w:r>
      <w:r>
        <w:rPr>
          <w:color w:val="2D2D2D"/>
          <w:sz w:val="15"/>
          <w:szCs w:val="15"/>
        </w:rPr>
        <w:t> - число мест для сидения, помимо места водителя.</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Транспортные средства специального назначения категории </w:t>
      </w:r>
      <w:r>
        <w:rPr>
          <w:color w:val="2D2D2D"/>
          <w:sz w:val="15"/>
          <w:szCs w:val="15"/>
        </w:rPr>
        <w:pict>
          <v:shape id="_x0000_i1103" type="#_x0000_t75" alt="ГОСТ Р 52051-2003 Механические транспортные средства и прицепы. Классификация и определения" style="width:17.75pt;height:17.2pt"/>
        </w:pic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SA - автомобиль-дом (</w:t>
      </w:r>
      <w:proofErr w:type="gramStart"/>
      <w:r>
        <w:rPr>
          <w:color w:val="2D2D2D"/>
          <w:sz w:val="15"/>
          <w:szCs w:val="15"/>
        </w:rPr>
        <w:t>см</w:t>
      </w:r>
      <w:proofErr w:type="gramEnd"/>
      <w:r>
        <w:rPr>
          <w:color w:val="2D2D2D"/>
          <w:sz w:val="15"/>
          <w:szCs w:val="15"/>
        </w:rPr>
        <w:t>. 6.1.1);</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SB - бронированное транспортное средство (</w:t>
      </w:r>
      <w:proofErr w:type="gramStart"/>
      <w:r>
        <w:rPr>
          <w:color w:val="2D2D2D"/>
          <w:sz w:val="15"/>
          <w:szCs w:val="15"/>
        </w:rPr>
        <w:t>см</w:t>
      </w:r>
      <w:proofErr w:type="gramEnd"/>
      <w:r>
        <w:rPr>
          <w:color w:val="2D2D2D"/>
          <w:sz w:val="15"/>
          <w:szCs w:val="15"/>
        </w:rPr>
        <w:t>. 6.1.2);</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SC - транспортное средство медицинской помощи (</w:t>
      </w:r>
      <w:proofErr w:type="gramStart"/>
      <w:r>
        <w:rPr>
          <w:color w:val="2D2D2D"/>
          <w:sz w:val="15"/>
          <w:szCs w:val="15"/>
        </w:rPr>
        <w:t>см</w:t>
      </w:r>
      <w:proofErr w:type="gramEnd"/>
      <w:r>
        <w:rPr>
          <w:color w:val="2D2D2D"/>
          <w:sz w:val="15"/>
          <w:szCs w:val="15"/>
        </w:rPr>
        <w:t>. 6.1.3);</w:t>
      </w:r>
      <w:r>
        <w:rPr>
          <w:color w:val="2D2D2D"/>
          <w:sz w:val="15"/>
          <w:szCs w:val="15"/>
        </w:rPr>
        <w:br/>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SD - автомобиль для ритуальных услуг (катафалк) (</w:t>
      </w:r>
      <w:proofErr w:type="gramStart"/>
      <w:r>
        <w:rPr>
          <w:color w:val="2D2D2D"/>
          <w:sz w:val="15"/>
          <w:szCs w:val="15"/>
        </w:rPr>
        <w:t>см</w:t>
      </w:r>
      <w:proofErr w:type="gramEnd"/>
      <w:r>
        <w:rPr>
          <w:color w:val="2D2D2D"/>
          <w:sz w:val="15"/>
          <w:szCs w:val="15"/>
        </w:rPr>
        <w:t>. 6.1.4).</w:t>
      </w:r>
      <w:r>
        <w:rPr>
          <w:color w:val="2D2D2D"/>
          <w:sz w:val="15"/>
          <w:szCs w:val="15"/>
        </w:rPr>
        <w:br/>
      </w:r>
      <w:r>
        <w:rPr>
          <w:color w:val="2D2D2D"/>
          <w:sz w:val="15"/>
          <w:szCs w:val="15"/>
        </w:rPr>
        <w:br/>
      </w:r>
    </w:p>
    <w:p w:rsidR="004B1F77" w:rsidRDefault="004B1F77" w:rsidP="004B1F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Библиография</w:t>
      </w:r>
    </w:p>
    <w:p w:rsidR="004B1F77" w:rsidRDefault="004B1F77" w:rsidP="004B1F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(справочное)</w:t>
      </w:r>
    </w:p>
    <w:p w:rsidR="004B1F77" w:rsidRDefault="004B1F77" w:rsidP="004B1F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[1] ИСО 612-78 Транспорт дорожный. Размеры автомобилей и тягачей с прицепами. Термины и определения </w:t>
      </w:r>
      <w:r>
        <w:rPr>
          <w:color w:val="2D2D2D"/>
          <w:sz w:val="15"/>
          <w:szCs w:val="15"/>
        </w:rPr>
        <w:br/>
      </w:r>
      <w:r>
        <w:rPr>
          <w:color w:val="2D2D2D"/>
          <w:sz w:val="15"/>
          <w:szCs w:val="15"/>
        </w:rPr>
        <w:br/>
        <w:t>[2] ИСО 3833-77 Дорожные транспортные средства. Типы, термины и определения.</w:t>
      </w:r>
      <w:r>
        <w:rPr>
          <w:color w:val="2D2D2D"/>
          <w:sz w:val="15"/>
          <w:szCs w:val="15"/>
        </w:rPr>
        <w:br/>
      </w:r>
      <w:r>
        <w:rPr>
          <w:color w:val="2D2D2D"/>
          <w:sz w:val="15"/>
          <w:szCs w:val="15"/>
        </w:rPr>
        <w:br/>
      </w:r>
      <w:r>
        <w:rPr>
          <w:color w:val="2D2D2D"/>
          <w:sz w:val="15"/>
          <w:szCs w:val="15"/>
        </w:rPr>
        <w:br/>
      </w:r>
    </w:p>
    <w:tbl>
      <w:tblPr>
        <w:tblW w:w="0" w:type="auto"/>
        <w:tblCellMar>
          <w:left w:w="0" w:type="dxa"/>
          <w:right w:w="0" w:type="dxa"/>
        </w:tblCellMar>
        <w:tblLook w:val="04A0"/>
      </w:tblPr>
      <w:tblGrid>
        <w:gridCol w:w="3384"/>
        <w:gridCol w:w="2809"/>
        <w:gridCol w:w="1983"/>
        <w:gridCol w:w="2313"/>
      </w:tblGrid>
      <w:tr w:rsidR="004B1F77" w:rsidTr="004B1F77">
        <w:trPr>
          <w:trHeight w:val="15"/>
        </w:trPr>
        <w:tc>
          <w:tcPr>
            <w:tcW w:w="3696" w:type="dxa"/>
            <w:hideMark/>
          </w:tcPr>
          <w:p w:rsidR="004B1F77" w:rsidRDefault="004B1F77">
            <w:pPr>
              <w:rPr>
                <w:sz w:val="2"/>
                <w:szCs w:val="24"/>
              </w:rPr>
            </w:pPr>
          </w:p>
        </w:tc>
        <w:tc>
          <w:tcPr>
            <w:tcW w:w="3142" w:type="dxa"/>
            <w:hideMark/>
          </w:tcPr>
          <w:p w:rsidR="004B1F77" w:rsidRDefault="004B1F77">
            <w:pPr>
              <w:rPr>
                <w:sz w:val="2"/>
                <w:szCs w:val="24"/>
              </w:rPr>
            </w:pPr>
          </w:p>
        </w:tc>
        <w:tc>
          <w:tcPr>
            <w:tcW w:w="2218" w:type="dxa"/>
            <w:hideMark/>
          </w:tcPr>
          <w:p w:rsidR="004B1F77" w:rsidRDefault="004B1F77">
            <w:pPr>
              <w:rPr>
                <w:sz w:val="2"/>
                <w:szCs w:val="24"/>
              </w:rPr>
            </w:pPr>
          </w:p>
        </w:tc>
        <w:tc>
          <w:tcPr>
            <w:tcW w:w="2587" w:type="dxa"/>
            <w:hideMark/>
          </w:tcPr>
          <w:p w:rsidR="004B1F77" w:rsidRDefault="004B1F77">
            <w:pPr>
              <w:rPr>
                <w:sz w:val="2"/>
                <w:szCs w:val="24"/>
              </w:rPr>
            </w:pPr>
          </w:p>
        </w:tc>
      </w:tr>
      <w:tr w:rsidR="004B1F77" w:rsidTr="004B1F77">
        <w:tc>
          <w:tcPr>
            <w:tcW w:w="3696" w:type="dxa"/>
            <w:tcBorders>
              <w:top w:val="single" w:sz="4" w:space="0" w:color="000000"/>
              <w:left w:val="nil"/>
              <w:bottom w:val="nil"/>
              <w:right w:val="nil"/>
            </w:tcBorders>
            <w:tcMar>
              <w:top w:w="0" w:type="dxa"/>
              <w:left w:w="74" w:type="dxa"/>
              <w:bottom w:w="0" w:type="dxa"/>
              <w:right w:w="74" w:type="dxa"/>
            </w:tcMar>
            <w:hideMark/>
          </w:tcPr>
          <w:p w:rsidR="004B1F77" w:rsidRDefault="004B1F77">
            <w:pPr>
              <w:pStyle w:val="formattext"/>
              <w:spacing w:before="0" w:beforeAutospacing="0" w:after="0" w:afterAutospacing="0" w:line="226" w:lineRule="atLeast"/>
              <w:textAlignment w:val="baseline"/>
              <w:rPr>
                <w:color w:val="2D2D2D"/>
                <w:sz w:val="15"/>
                <w:szCs w:val="15"/>
              </w:rPr>
            </w:pPr>
            <w:r>
              <w:rPr>
                <w:color w:val="2D2D2D"/>
                <w:sz w:val="15"/>
                <w:szCs w:val="15"/>
              </w:rPr>
              <w:t>УДК 629.114.3:006.354</w:t>
            </w:r>
          </w:p>
        </w:tc>
        <w:tc>
          <w:tcPr>
            <w:tcW w:w="3142" w:type="dxa"/>
            <w:tcBorders>
              <w:top w:val="single" w:sz="4" w:space="0" w:color="000000"/>
              <w:left w:val="nil"/>
              <w:bottom w:val="nil"/>
              <w:right w:val="nil"/>
            </w:tcBorders>
            <w:tcMar>
              <w:top w:w="0" w:type="dxa"/>
              <w:left w:w="74" w:type="dxa"/>
              <w:bottom w:w="0" w:type="dxa"/>
              <w:right w:w="74" w:type="dxa"/>
            </w:tcMar>
            <w:hideMark/>
          </w:tcPr>
          <w:p w:rsidR="004B1F77" w:rsidRDefault="004B1F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43.020</w:t>
            </w:r>
          </w:p>
        </w:tc>
        <w:tc>
          <w:tcPr>
            <w:tcW w:w="2218" w:type="dxa"/>
            <w:tcBorders>
              <w:top w:val="single" w:sz="4" w:space="0" w:color="000000"/>
              <w:left w:val="nil"/>
              <w:bottom w:val="nil"/>
              <w:right w:val="nil"/>
            </w:tcBorders>
            <w:tcMar>
              <w:top w:w="0" w:type="dxa"/>
              <w:left w:w="74" w:type="dxa"/>
              <w:bottom w:w="0" w:type="dxa"/>
              <w:right w:w="74" w:type="dxa"/>
            </w:tcMar>
            <w:hideMark/>
          </w:tcPr>
          <w:p w:rsidR="004B1F77" w:rsidRDefault="004B1F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Д20</w:t>
            </w:r>
          </w:p>
        </w:tc>
        <w:tc>
          <w:tcPr>
            <w:tcW w:w="2587" w:type="dxa"/>
            <w:tcBorders>
              <w:top w:val="single" w:sz="4" w:space="0" w:color="000000"/>
              <w:left w:val="nil"/>
              <w:bottom w:val="nil"/>
              <w:right w:val="nil"/>
            </w:tcBorders>
            <w:tcMar>
              <w:top w:w="0" w:type="dxa"/>
              <w:left w:w="74" w:type="dxa"/>
              <w:bottom w:w="0" w:type="dxa"/>
              <w:right w:w="74" w:type="dxa"/>
            </w:tcMar>
            <w:hideMark/>
          </w:tcPr>
          <w:p w:rsidR="004B1F77" w:rsidRDefault="004B1F77">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0000</w:t>
            </w:r>
          </w:p>
        </w:tc>
      </w:tr>
      <w:tr w:rsidR="004B1F77" w:rsidTr="004B1F77">
        <w:tc>
          <w:tcPr>
            <w:tcW w:w="3696" w:type="dxa"/>
            <w:tcBorders>
              <w:top w:val="nil"/>
              <w:left w:val="nil"/>
              <w:bottom w:val="nil"/>
              <w:right w:val="nil"/>
            </w:tcBorders>
            <w:tcMar>
              <w:top w:w="0" w:type="dxa"/>
              <w:left w:w="74" w:type="dxa"/>
              <w:bottom w:w="0" w:type="dxa"/>
              <w:right w:w="74" w:type="dxa"/>
            </w:tcMar>
            <w:hideMark/>
          </w:tcPr>
          <w:p w:rsidR="004B1F77" w:rsidRDefault="004B1F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4B1F77" w:rsidRDefault="004B1F77">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4B1F77" w:rsidRDefault="004B1F77">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4B1F77" w:rsidRDefault="004B1F77">
            <w:pPr>
              <w:rPr>
                <w:sz w:val="24"/>
                <w:szCs w:val="24"/>
              </w:rPr>
            </w:pPr>
          </w:p>
        </w:tc>
      </w:tr>
      <w:tr w:rsidR="004B1F77" w:rsidTr="004B1F77">
        <w:tc>
          <w:tcPr>
            <w:tcW w:w="11642" w:type="dxa"/>
            <w:gridSpan w:val="4"/>
            <w:tcBorders>
              <w:top w:val="nil"/>
              <w:left w:val="nil"/>
              <w:bottom w:val="single" w:sz="4" w:space="0" w:color="000000"/>
              <w:right w:val="nil"/>
            </w:tcBorders>
            <w:tcMar>
              <w:top w:w="0" w:type="dxa"/>
              <w:left w:w="74" w:type="dxa"/>
              <w:bottom w:w="0" w:type="dxa"/>
              <w:right w:w="74" w:type="dxa"/>
            </w:tcMar>
            <w:hideMark/>
          </w:tcPr>
          <w:p w:rsidR="004B1F77" w:rsidRDefault="004B1F77">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транспортные средства, классификация, определения</w:t>
            </w:r>
          </w:p>
        </w:tc>
      </w:tr>
    </w:tbl>
    <w:p w:rsidR="004B1F77" w:rsidRDefault="004B1F77" w:rsidP="004B1F7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FC651B" w:rsidRPr="007363EF" w:rsidRDefault="00FC651B" w:rsidP="007363EF">
      <w:pPr>
        <w:rPr>
          <w:szCs w:val="15"/>
        </w:rPr>
      </w:pPr>
    </w:p>
    <w:sectPr w:rsidR="00FC651B" w:rsidRPr="007363EF" w:rsidSect="0095551E">
      <w:footerReference w:type="default" r:id="rId1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D500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2D6"/>
    <w:multiLevelType w:val="multilevel"/>
    <w:tmpl w:val="7A1C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73810"/>
    <w:multiLevelType w:val="multilevel"/>
    <w:tmpl w:val="EE3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3F19"/>
    <w:multiLevelType w:val="multilevel"/>
    <w:tmpl w:val="D8A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70398"/>
    <w:multiLevelType w:val="multilevel"/>
    <w:tmpl w:val="2CA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3221D"/>
    <w:multiLevelType w:val="multilevel"/>
    <w:tmpl w:val="D94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165D2"/>
    <w:multiLevelType w:val="multilevel"/>
    <w:tmpl w:val="EABA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64192"/>
    <w:multiLevelType w:val="multilevel"/>
    <w:tmpl w:val="A0F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E545C"/>
    <w:multiLevelType w:val="multilevel"/>
    <w:tmpl w:val="8FB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B1F77"/>
    <w:rsid w:val="004D500D"/>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82351331">
      <w:bodyDiv w:val="1"/>
      <w:marLeft w:val="0"/>
      <w:marRight w:val="0"/>
      <w:marTop w:val="0"/>
      <w:marBottom w:val="0"/>
      <w:divBdr>
        <w:top w:val="none" w:sz="0" w:space="0" w:color="auto"/>
        <w:left w:val="none" w:sz="0" w:space="0" w:color="auto"/>
        <w:bottom w:val="none" w:sz="0" w:space="0" w:color="auto"/>
        <w:right w:val="none" w:sz="0" w:space="0" w:color="auto"/>
      </w:divBdr>
      <w:divsChild>
        <w:div w:id="1009911538">
          <w:marLeft w:val="0"/>
          <w:marRight w:val="0"/>
          <w:marTop w:val="107"/>
          <w:marBottom w:val="150"/>
          <w:divBdr>
            <w:top w:val="none" w:sz="0" w:space="0" w:color="auto"/>
            <w:left w:val="none" w:sz="0" w:space="0" w:color="auto"/>
            <w:bottom w:val="none" w:sz="0" w:space="0" w:color="auto"/>
            <w:right w:val="none" w:sz="0" w:space="0" w:color="auto"/>
          </w:divBdr>
          <w:divsChild>
            <w:div w:id="1677154352">
              <w:marLeft w:val="11"/>
              <w:marRight w:val="11"/>
              <w:marTop w:val="11"/>
              <w:marBottom w:val="11"/>
              <w:divBdr>
                <w:top w:val="none" w:sz="0" w:space="0" w:color="auto"/>
                <w:left w:val="none" w:sz="0" w:space="0" w:color="auto"/>
                <w:bottom w:val="none" w:sz="0" w:space="0" w:color="auto"/>
                <w:right w:val="none" w:sz="0" w:space="0" w:color="auto"/>
              </w:divBdr>
              <w:divsChild>
                <w:div w:id="1856528225">
                  <w:marLeft w:val="0"/>
                  <w:marRight w:val="0"/>
                  <w:marTop w:val="0"/>
                  <w:marBottom w:val="0"/>
                  <w:divBdr>
                    <w:top w:val="none" w:sz="0" w:space="0" w:color="auto"/>
                    <w:left w:val="none" w:sz="0" w:space="0" w:color="auto"/>
                    <w:bottom w:val="none" w:sz="0" w:space="0" w:color="auto"/>
                    <w:right w:val="none" w:sz="0" w:space="0" w:color="auto"/>
                  </w:divBdr>
                </w:div>
                <w:div w:id="581183440">
                  <w:marLeft w:val="0"/>
                  <w:marRight w:val="0"/>
                  <w:marTop w:val="0"/>
                  <w:marBottom w:val="0"/>
                  <w:divBdr>
                    <w:top w:val="none" w:sz="0" w:space="0" w:color="auto"/>
                    <w:left w:val="none" w:sz="0" w:space="0" w:color="auto"/>
                    <w:bottom w:val="none" w:sz="0" w:space="0" w:color="auto"/>
                    <w:right w:val="none" w:sz="0" w:space="0" w:color="auto"/>
                  </w:divBdr>
                </w:div>
              </w:divsChild>
            </w:div>
            <w:div w:id="30494552">
              <w:marLeft w:val="0"/>
              <w:marRight w:val="0"/>
              <w:marTop w:val="0"/>
              <w:marBottom w:val="0"/>
              <w:divBdr>
                <w:top w:val="none" w:sz="0" w:space="0" w:color="auto"/>
                <w:left w:val="none" w:sz="0" w:space="0" w:color="auto"/>
                <w:bottom w:val="none" w:sz="0" w:space="0" w:color="auto"/>
                <w:right w:val="none" w:sz="0" w:space="0" w:color="auto"/>
              </w:divBdr>
              <w:divsChild>
                <w:div w:id="627323964">
                  <w:marLeft w:val="0"/>
                  <w:marRight w:val="0"/>
                  <w:marTop w:val="0"/>
                  <w:marBottom w:val="0"/>
                  <w:divBdr>
                    <w:top w:val="none" w:sz="0" w:space="0" w:color="auto"/>
                    <w:left w:val="none" w:sz="0" w:space="0" w:color="auto"/>
                    <w:bottom w:val="none" w:sz="0" w:space="0" w:color="auto"/>
                    <w:right w:val="none" w:sz="0" w:space="0" w:color="auto"/>
                  </w:divBdr>
                  <w:divsChild>
                    <w:div w:id="1276401989">
                      <w:marLeft w:val="0"/>
                      <w:marRight w:val="0"/>
                      <w:marTop w:val="0"/>
                      <w:marBottom w:val="0"/>
                      <w:divBdr>
                        <w:top w:val="none" w:sz="0" w:space="0" w:color="auto"/>
                        <w:left w:val="none" w:sz="0" w:space="0" w:color="auto"/>
                        <w:bottom w:val="none" w:sz="0" w:space="0" w:color="auto"/>
                        <w:right w:val="none" w:sz="0" w:space="0" w:color="auto"/>
                      </w:divBdr>
                      <w:divsChild>
                        <w:div w:id="1472625875">
                          <w:marLeft w:val="5663"/>
                          <w:marRight w:val="0"/>
                          <w:marTop w:val="0"/>
                          <w:marBottom w:val="0"/>
                          <w:divBdr>
                            <w:top w:val="none" w:sz="0" w:space="0" w:color="auto"/>
                            <w:left w:val="none" w:sz="0" w:space="0" w:color="auto"/>
                            <w:bottom w:val="none" w:sz="0" w:space="0" w:color="auto"/>
                            <w:right w:val="none" w:sz="0" w:space="0" w:color="auto"/>
                          </w:divBdr>
                        </w:div>
                      </w:divsChild>
                    </w:div>
                    <w:div w:id="1171406789">
                      <w:marLeft w:val="-12749"/>
                      <w:marRight w:val="322"/>
                      <w:marTop w:val="376"/>
                      <w:marBottom w:val="0"/>
                      <w:divBdr>
                        <w:top w:val="none" w:sz="0" w:space="0" w:color="auto"/>
                        <w:left w:val="none" w:sz="0" w:space="0" w:color="auto"/>
                        <w:bottom w:val="none" w:sz="0" w:space="0" w:color="auto"/>
                        <w:right w:val="none" w:sz="0" w:space="0" w:color="auto"/>
                      </w:divBdr>
                    </w:div>
                    <w:div w:id="243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3804">
              <w:marLeft w:val="11"/>
              <w:marRight w:val="11"/>
              <w:marTop w:val="0"/>
              <w:marBottom w:val="0"/>
              <w:divBdr>
                <w:top w:val="none" w:sz="0" w:space="0" w:color="auto"/>
                <w:left w:val="none" w:sz="0" w:space="0" w:color="auto"/>
                <w:bottom w:val="none" w:sz="0" w:space="0" w:color="auto"/>
                <w:right w:val="none" w:sz="0" w:space="0" w:color="auto"/>
              </w:divBdr>
            </w:div>
          </w:divsChild>
        </w:div>
        <w:div w:id="1669601050">
          <w:marLeft w:val="0"/>
          <w:marRight w:val="0"/>
          <w:marTop w:val="0"/>
          <w:marBottom w:val="494"/>
          <w:divBdr>
            <w:top w:val="none" w:sz="0" w:space="0" w:color="auto"/>
            <w:left w:val="none" w:sz="0" w:space="0" w:color="auto"/>
            <w:bottom w:val="none" w:sz="0" w:space="0" w:color="auto"/>
            <w:right w:val="none" w:sz="0" w:space="0" w:color="auto"/>
          </w:divBdr>
          <w:divsChild>
            <w:div w:id="1131945094">
              <w:marLeft w:val="0"/>
              <w:marRight w:val="0"/>
              <w:marTop w:val="0"/>
              <w:marBottom w:val="322"/>
              <w:divBdr>
                <w:top w:val="none" w:sz="0" w:space="0" w:color="auto"/>
                <w:left w:val="none" w:sz="0" w:space="0" w:color="auto"/>
                <w:bottom w:val="none" w:sz="0" w:space="0" w:color="auto"/>
                <w:right w:val="none" w:sz="0" w:space="0" w:color="auto"/>
              </w:divBdr>
              <w:divsChild>
                <w:div w:id="393242149">
                  <w:marLeft w:val="0"/>
                  <w:marRight w:val="0"/>
                  <w:marTop w:val="0"/>
                  <w:marBottom w:val="0"/>
                  <w:divBdr>
                    <w:top w:val="none" w:sz="0" w:space="0" w:color="auto"/>
                    <w:left w:val="none" w:sz="0" w:space="0" w:color="auto"/>
                    <w:bottom w:val="none" w:sz="0" w:space="0" w:color="auto"/>
                    <w:right w:val="none" w:sz="0" w:space="0" w:color="auto"/>
                  </w:divBdr>
                </w:div>
                <w:div w:id="116990352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7983453">
                      <w:marLeft w:val="0"/>
                      <w:marRight w:val="0"/>
                      <w:marTop w:val="0"/>
                      <w:marBottom w:val="752"/>
                      <w:divBdr>
                        <w:top w:val="none" w:sz="0" w:space="0" w:color="auto"/>
                        <w:left w:val="none" w:sz="0" w:space="0" w:color="auto"/>
                        <w:bottom w:val="none" w:sz="0" w:space="0" w:color="auto"/>
                        <w:right w:val="none" w:sz="0" w:space="0" w:color="auto"/>
                      </w:divBdr>
                      <w:divsChild>
                        <w:div w:id="1059861262">
                          <w:marLeft w:val="0"/>
                          <w:marRight w:val="0"/>
                          <w:marTop w:val="0"/>
                          <w:marBottom w:val="0"/>
                          <w:divBdr>
                            <w:top w:val="none" w:sz="0" w:space="0" w:color="auto"/>
                            <w:left w:val="none" w:sz="0" w:space="0" w:color="auto"/>
                            <w:bottom w:val="none" w:sz="0" w:space="0" w:color="auto"/>
                            <w:right w:val="none" w:sz="0" w:space="0" w:color="auto"/>
                          </w:divBdr>
                        </w:div>
                        <w:div w:id="447283793">
                          <w:marLeft w:val="0"/>
                          <w:marRight w:val="0"/>
                          <w:marTop w:val="0"/>
                          <w:marBottom w:val="0"/>
                          <w:divBdr>
                            <w:top w:val="none" w:sz="0" w:space="0" w:color="auto"/>
                            <w:left w:val="none" w:sz="0" w:space="0" w:color="auto"/>
                            <w:bottom w:val="none" w:sz="0" w:space="0" w:color="auto"/>
                            <w:right w:val="none" w:sz="0" w:space="0" w:color="auto"/>
                          </w:divBdr>
                          <w:divsChild>
                            <w:div w:id="488980789">
                              <w:marLeft w:val="0"/>
                              <w:marRight w:val="0"/>
                              <w:marTop w:val="0"/>
                              <w:marBottom w:val="0"/>
                              <w:divBdr>
                                <w:top w:val="none" w:sz="0" w:space="0" w:color="auto"/>
                                <w:left w:val="none" w:sz="0" w:space="0" w:color="auto"/>
                                <w:bottom w:val="none" w:sz="0" w:space="0" w:color="auto"/>
                                <w:right w:val="none" w:sz="0" w:space="0" w:color="auto"/>
                              </w:divBdr>
                              <w:divsChild>
                                <w:div w:id="507599469">
                                  <w:marLeft w:val="0"/>
                                  <w:marRight w:val="0"/>
                                  <w:marTop w:val="0"/>
                                  <w:marBottom w:val="0"/>
                                  <w:divBdr>
                                    <w:top w:val="none" w:sz="0" w:space="0" w:color="auto"/>
                                    <w:left w:val="none" w:sz="0" w:space="0" w:color="auto"/>
                                    <w:bottom w:val="none" w:sz="0" w:space="0" w:color="auto"/>
                                    <w:right w:val="none" w:sz="0" w:space="0" w:color="auto"/>
                                  </w:divBdr>
                                  <w:divsChild>
                                    <w:div w:id="1789008879">
                                      <w:marLeft w:val="0"/>
                                      <w:marRight w:val="0"/>
                                      <w:marTop w:val="0"/>
                                      <w:marBottom w:val="0"/>
                                      <w:divBdr>
                                        <w:top w:val="none" w:sz="0" w:space="0" w:color="auto"/>
                                        <w:left w:val="none" w:sz="0" w:space="0" w:color="auto"/>
                                        <w:bottom w:val="none" w:sz="0" w:space="0" w:color="auto"/>
                                        <w:right w:val="none" w:sz="0" w:space="0" w:color="auto"/>
                                      </w:divBdr>
                                      <w:divsChild>
                                        <w:div w:id="709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10942">
                          <w:marLeft w:val="0"/>
                          <w:marRight w:val="0"/>
                          <w:marTop w:val="0"/>
                          <w:marBottom w:val="0"/>
                          <w:divBdr>
                            <w:top w:val="none" w:sz="0" w:space="0" w:color="auto"/>
                            <w:left w:val="none" w:sz="0" w:space="0" w:color="auto"/>
                            <w:bottom w:val="none" w:sz="0" w:space="0" w:color="auto"/>
                            <w:right w:val="none" w:sz="0" w:space="0" w:color="auto"/>
                          </w:divBdr>
                          <w:divsChild>
                            <w:div w:id="1561284720">
                              <w:marLeft w:val="0"/>
                              <w:marRight w:val="0"/>
                              <w:marTop w:val="0"/>
                              <w:marBottom w:val="0"/>
                              <w:divBdr>
                                <w:top w:val="none" w:sz="0" w:space="0" w:color="auto"/>
                                <w:left w:val="none" w:sz="0" w:space="0" w:color="auto"/>
                                <w:bottom w:val="none" w:sz="0" w:space="0" w:color="auto"/>
                                <w:right w:val="none" w:sz="0" w:space="0" w:color="auto"/>
                              </w:divBdr>
                              <w:divsChild>
                                <w:div w:id="873731226">
                                  <w:marLeft w:val="0"/>
                                  <w:marRight w:val="0"/>
                                  <w:marTop w:val="0"/>
                                  <w:marBottom w:val="0"/>
                                  <w:divBdr>
                                    <w:top w:val="none" w:sz="0" w:space="0" w:color="auto"/>
                                    <w:left w:val="none" w:sz="0" w:space="0" w:color="auto"/>
                                    <w:bottom w:val="none" w:sz="0" w:space="0" w:color="auto"/>
                                    <w:right w:val="none" w:sz="0" w:space="0" w:color="auto"/>
                                  </w:divBdr>
                                  <w:divsChild>
                                    <w:div w:id="16804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38841">
          <w:marLeft w:val="0"/>
          <w:marRight w:val="0"/>
          <w:marTop w:val="0"/>
          <w:marBottom w:val="161"/>
          <w:divBdr>
            <w:top w:val="single" w:sz="4" w:space="0" w:color="E0E0E0"/>
            <w:left w:val="single" w:sz="4" w:space="0" w:color="E0E0E0"/>
            <w:bottom w:val="single" w:sz="4" w:space="0" w:color="E0E0E0"/>
            <w:right w:val="single" w:sz="4" w:space="0" w:color="E0E0E0"/>
          </w:divBdr>
          <w:divsChild>
            <w:div w:id="423720959">
              <w:marLeft w:val="0"/>
              <w:marRight w:val="0"/>
              <w:marTop w:val="0"/>
              <w:marBottom w:val="0"/>
              <w:divBdr>
                <w:top w:val="none" w:sz="0" w:space="0" w:color="auto"/>
                <w:left w:val="none" w:sz="0" w:space="0" w:color="auto"/>
                <w:bottom w:val="none" w:sz="0" w:space="0" w:color="auto"/>
                <w:right w:val="none" w:sz="0" w:space="0" w:color="auto"/>
              </w:divBdr>
            </w:div>
            <w:div w:id="2017151849">
              <w:marLeft w:val="0"/>
              <w:marRight w:val="0"/>
              <w:marTop w:val="0"/>
              <w:marBottom w:val="0"/>
              <w:divBdr>
                <w:top w:val="none" w:sz="0" w:space="0" w:color="auto"/>
                <w:left w:val="none" w:sz="0" w:space="0" w:color="auto"/>
                <w:bottom w:val="none" w:sz="0" w:space="0" w:color="auto"/>
                <w:right w:val="none" w:sz="0" w:space="0" w:color="auto"/>
              </w:divBdr>
            </w:div>
          </w:divsChild>
        </w:div>
        <w:div w:id="684794583">
          <w:marLeft w:val="0"/>
          <w:marRight w:val="0"/>
          <w:marTop w:val="0"/>
          <w:marBottom w:val="0"/>
          <w:divBdr>
            <w:top w:val="none" w:sz="0" w:space="0" w:color="auto"/>
            <w:left w:val="none" w:sz="0" w:space="0" w:color="auto"/>
            <w:bottom w:val="none" w:sz="0" w:space="0" w:color="auto"/>
            <w:right w:val="none" w:sz="0" w:space="0" w:color="auto"/>
          </w:divBdr>
          <w:divsChild>
            <w:div w:id="1684089793">
              <w:marLeft w:val="0"/>
              <w:marRight w:val="0"/>
              <w:marTop w:val="0"/>
              <w:marBottom w:val="0"/>
              <w:divBdr>
                <w:top w:val="none" w:sz="0" w:space="0" w:color="auto"/>
                <w:left w:val="none" w:sz="0" w:space="0" w:color="auto"/>
                <w:bottom w:val="none" w:sz="0" w:space="0" w:color="auto"/>
                <w:right w:val="none" w:sz="0" w:space="0" w:color="auto"/>
              </w:divBdr>
            </w:div>
            <w:div w:id="430591423">
              <w:marLeft w:val="0"/>
              <w:marRight w:val="0"/>
              <w:marTop w:val="0"/>
              <w:marBottom w:val="0"/>
              <w:divBdr>
                <w:top w:val="none" w:sz="0" w:space="0" w:color="auto"/>
                <w:left w:val="none" w:sz="0" w:space="0" w:color="auto"/>
                <w:bottom w:val="none" w:sz="0" w:space="0" w:color="auto"/>
                <w:right w:val="none" w:sz="0" w:space="0" w:color="auto"/>
              </w:divBdr>
            </w:div>
            <w:div w:id="16919545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2017-11-09T10:33:00Z</dcterms:created>
  <dcterms:modified xsi:type="dcterms:W3CDTF">2017-11-09T10:33:00Z</dcterms:modified>
</cp:coreProperties>
</file>