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6" w:rsidRDefault="00A33386" w:rsidP="00A333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53409-2009 Автомобильные транспортные средства. Сцепления сухие фрикционные. Общие технические требования и методы испытаний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53409-2009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A33386" w:rsidRDefault="00A33386" w:rsidP="00A333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A33386" w:rsidRDefault="00A33386" w:rsidP="00A333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A33386" w:rsidRDefault="00A33386" w:rsidP="00A333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СЦЕПЛЕНИЯ СУХИЕ ФРИКЦИОННЫЕ</w:t>
      </w:r>
    </w:p>
    <w:p w:rsidR="00A33386" w:rsidRDefault="00A33386" w:rsidP="00A333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 и методы испытаний</w:t>
      </w:r>
    </w:p>
    <w:p w:rsidR="00A33386" w:rsidRPr="00A33386" w:rsidRDefault="00A33386" w:rsidP="00A3338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A33386">
        <w:rPr>
          <w:color w:val="3C3C3C"/>
          <w:sz w:val="41"/>
          <w:szCs w:val="41"/>
          <w:lang w:val="en-US"/>
        </w:rPr>
        <w:t>Vehicles.</w:t>
      </w:r>
      <w:proofErr w:type="gramEnd"/>
      <w:r w:rsidRPr="00A33386">
        <w:rPr>
          <w:color w:val="3C3C3C"/>
          <w:sz w:val="41"/>
          <w:szCs w:val="41"/>
          <w:lang w:val="en-US"/>
        </w:rPr>
        <w:t xml:space="preserve"> Friction dry clutches. General technical requirements and test methods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A33386"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2010-07-01</w:t>
      </w:r>
    </w:p>
    <w:p w:rsidR="00A33386" w:rsidRDefault="00A33386" w:rsidP="00A333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Предисловие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A33386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A33386">
        <w:rPr>
          <w:color w:val="2D2D2D"/>
          <w:sz w:val="15"/>
          <w:szCs w:val="15"/>
        </w:rPr>
        <w:t xml:space="preserve">ГОСТ </w:t>
      </w:r>
      <w:proofErr w:type="gramStart"/>
      <w:r w:rsidRPr="00A33386">
        <w:rPr>
          <w:color w:val="2D2D2D"/>
          <w:sz w:val="15"/>
          <w:szCs w:val="15"/>
        </w:rPr>
        <w:t>Р</w:t>
      </w:r>
      <w:proofErr w:type="gramEnd"/>
      <w:r w:rsidRPr="00A33386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14 октября 2009 г. N 451-ст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сцепления сухие фрикционные (далее - сцепления), их узлы и детали, предназначенные для трансмиссий автотранспортных средств категорий M и N по </w:t>
      </w:r>
      <w:r w:rsidRPr="00A33386">
        <w:rPr>
          <w:color w:val="2D2D2D"/>
          <w:sz w:val="15"/>
          <w:szCs w:val="15"/>
        </w:rPr>
        <w:t xml:space="preserve">ГОСТ </w:t>
      </w:r>
      <w:proofErr w:type="gramStart"/>
      <w:r w:rsidRPr="00A33386">
        <w:rPr>
          <w:color w:val="2D2D2D"/>
          <w:sz w:val="15"/>
          <w:szCs w:val="15"/>
        </w:rPr>
        <w:t>Р</w:t>
      </w:r>
      <w:proofErr w:type="gramEnd"/>
      <w:r w:rsidRPr="00A33386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а также для других транспортных средств, машин и механизмов.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Данный стандарт не исключает применение </w:t>
      </w:r>
      <w:proofErr w:type="gramStart"/>
      <w:r>
        <w:rPr>
          <w:color w:val="2D2D2D"/>
          <w:sz w:val="15"/>
          <w:szCs w:val="15"/>
        </w:rPr>
        <w:t>согласованных</w:t>
      </w:r>
      <w:proofErr w:type="gramEnd"/>
      <w:r>
        <w:rPr>
          <w:color w:val="2D2D2D"/>
          <w:sz w:val="15"/>
          <w:szCs w:val="15"/>
        </w:rPr>
        <w:t xml:space="preserve"> между изготовителем и потребителем соответствующих ТУ на отдельные компоненты сцепления.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 xml:space="preserve">ГОСТ </w:t>
      </w:r>
      <w:proofErr w:type="gramStart"/>
      <w:r w:rsidRPr="00A33386">
        <w:rPr>
          <w:color w:val="2D2D2D"/>
          <w:sz w:val="15"/>
          <w:szCs w:val="15"/>
        </w:rPr>
        <w:t>Р</w:t>
      </w:r>
      <w:proofErr w:type="gramEnd"/>
      <w:r w:rsidRPr="00A33386">
        <w:rPr>
          <w:color w:val="2D2D2D"/>
          <w:sz w:val="15"/>
          <w:szCs w:val="15"/>
        </w:rPr>
        <w:t xml:space="preserve"> 52051-2003</w:t>
      </w:r>
      <w:r>
        <w:rPr>
          <w:color w:val="2D2D2D"/>
          <w:sz w:val="15"/>
          <w:szCs w:val="15"/>
        </w:rPr>
        <w:t> 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2.314-68</w:t>
      </w:r>
      <w:r>
        <w:rPr>
          <w:color w:val="2D2D2D"/>
          <w:sz w:val="15"/>
          <w:szCs w:val="15"/>
        </w:rPr>
        <w:t> Единая система конструкторской документации. Указания на чертежах о маркировании и клеймении изделий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> Единая система защиты от коррозии и старения. Временная противокоррозионная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1786-95</w:t>
      </w:r>
      <w:r>
        <w:rPr>
          <w:color w:val="2D2D2D"/>
          <w:sz w:val="15"/>
          <w:szCs w:val="15"/>
        </w:rPr>
        <w:t> Накладки фрикционные.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2991-85</w:t>
      </w:r>
      <w:r>
        <w:rPr>
          <w:color w:val="2D2D2D"/>
          <w:sz w:val="15"/>
          <w:szCs w:val="15"/>
        </w:rPr>
        <w:t> Ящики дощатые неразборные для грузов массой до 500 кг.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16536-90</w:t>
      </w:r>
      <w:r>
        <w:rPr>
          <w:color w:val="2D2D2D"/>
          <w:sz w:val="15"/>
          <w:szCs w:val="15"/>
        </w:rPr>
        <w:t> Ящики деревянные для продукции автомобильной промышленности.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22061-76</w:t>
      </w:r>
      <w:r>
        <w:rPr>
          <w:color w:val="2D2D2D"/>
          <w:sz w:val="15"/>
          <w:szCs w:val="15"/>
        </w:rPr>
        <w:t>* Машины и технологическое оборудование. Системы классов точности балансировки. Основные положения</w:t>
      </w:r>
      <w:proofErr w:type="gramStart"/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A33386">
        <w:rPr>
          <w:color w:val="2D2D2D"/>
          <w:sz w:val="15"/>
          <w:szCs w:val="15"/>
        </w:rPr>
        <w:t>ГОСТ ИСО 1940-1-2007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33386">
        <w:rPr>
          <w:color w:val="2D2D2D"/>
          <w:sz w:val="15"/>
          <w:szCs w:val="15"/>
        </w:rPr>
        <w:t>ГОСТ 24634-81Э</w:t>
      </w:r>
      <w:r>
        <w:rPr>
          <w:color w:val="2D2D2D"/>
          <w:sz w:val="15"/>
          <w:szCs w:val="15"/>
        </w:rPr>
        <w:t xml:space="preserve"> Ящики деревянные для продукции, поставляемой для экспорта. </w:t>
      </w:r>
      <w:proofErr w:type="gramStart"/>
      <w:r>
        <w:rPr>
          <w:color w:val="2D2D2D"/>
          <w:sz w:val="15"/>
          <w:szCs w:val="15"/>
        </w:rPr>
        <w:t>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 [1].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параметры и/или размеры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основным параметрам и размерам сцепления относят: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максимальный крутящий момент, передаваемый сцеплением;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ход выключения сцепления;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усилие выжима сцепления при указанном в конструкторских документах (КД) ходе концов рычагов (упорного кольца, пяты, концов лепестков);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монтажный размер (расстояние от поверхности трения маховика до опорной поверхности муфты выключения сцепления, с которой контактирует вилка выключения сцепления).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основным параметрам и размерам отдельных составляющих (ведущие диски, ведомые диски, муфты выключения, тросы приводов, гидроцилиндры приводов), входящих в комплекты сцеплений, относят: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ведущего (нажимного) диска с кожухом в сборе: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дисбаланс,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усилие выжима сцепления при указанном в КД ходе концов рычагов (упорного кольца, пяты, концов лепестков),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торцовое биение концов рычагов (упорного кольца, пяты, концов лепестков),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расстояние от концов рычагов (упорного кольца, пяты, концов лепестков) до поверхности трения маховика,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перемещение нажимного диска при выключении сцепления;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среднего ведущего диска двухдискового сцепления: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дисбаланс,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погрешность величины перемещения диска к положению равновесия после прижатия диска к опорной поверхности;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ведомого диска сцепления: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дисбаланс,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торцовое биение диска,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расстояние от головок заклепок до поверхностей трения накладок,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 трения демпфера сцепления,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максимальное относительное угловое перемещение ведущего и ведомого звеньев демпфера сцепления,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 замыкания демпфера сцепления,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толщина ведомого диска по накладкам при включенном сцеплении,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наружный диаметр накладки,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внутренний диаметр накладки;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муфты выключения сцепления см. таблицу 1;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троса привода - перемещение троса в оболочке;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гидроцилиндров привода - перемещение поршня главного и рабочего цилиндров в осевом направлении.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3"/>
        <w:gridCol w:w="1739"/>
        <w:gridCol w:w="2217"/>
      </w:tblGrid>
      <w:tr w:rsidR="00A33386" w:rsidTr="00A33386">
        <w:trPr>
          <w:trHeight w:val="15"/>
        </w:trPr>
        <w:tc>
          <w:tcPr>
            <w:tcW w:w="7392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 и размера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муфты</w:t>
            </w:r>
          </w:p>
        </w:tc>
      </w:tr>
      <w:tr w:rsidR="00A33386" w:rsidTr="00A33386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подшипником в сборе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</w:t>
            </w:r>
            <w:proofErr w:type="spellStart"/>
            <w:r>
              <w:rPr>
                <w:color w:val="2D2D2D"/>
                <w:sz w:val="15"/>
                <w:szCs w:val="15"/>
              </w:rPr>
              <w:t>самоустана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ливающимся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подшипником в сборе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Плавность относительного углового </w:t>
            </w:r>
            <w:proofErr w:type="gramStart"/>
            <w:r>
              <w:rPr>
                <w:color w:val="2D2D2D"/>
                <w:sz w:val="15"/>
                <w:szCs w:val="15"/>
              </w:rPr>
              <w:t>перемещения элементов подшипника муфты выключения сцепления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Торцовое биение поверхности контакта муфты с элементами ведущего диска сцепления (рычагами, упорным кольцом, пятой, лепестками)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поверхности скольжения муфты по направляющей втулке коробки передач (диаметр центрального отверстия, шероховатость)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 перемещение подшипника относительно муфты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радиального перемещения подшипника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Плавность углового перемещения внутреннего кольца подшипника относительно втулки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Знак "+" означает наличие параметра,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отсутствие.</w:t>
            </w:r>
          </w:p>
        </w:tc>
      </w:tr>
    </w:tbl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Общие технические требования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Сцепления должны соответствовать требованиям настоящего стандарта и КД,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Сцепление должно обеспечивать плавное, без рывков и вибраций, </w:t>
      </w:r>
      <w:proofErr w:type="spellStart"/>
      <w:r>
        <w:rPr>
          <w:color w:val="2D2D2D"/>
          <w:sz w:val="15"/>
          <w:szCs w:val="15"/>
        </w:rPr>
        <w:t>трогание</w:t>
      </w:r>
      <w:proofErr w:type="spellEnd"/>
      <w:r>
        <w:rPr>
          <w:color w:val="2D2D2D"/>
          <w:sz w:val="15"/>
          <w:szCs w:val="15"/>
        </w:rPr>
        <w:t xml:space="preserve"> транспортного средства с места.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Отклонение от </w:t>
      </w:r>
      <w:proofErr w:type="spellStart"/>
      <w:r>
        <w:rPr>
          <w:color w:val="2D2D2D"/>
          <w:sz w:val="15"/>
          <w:szCs w:val="15"/>
        </w:rPr>
        <w:t>соосности</w:t>
      </w:r>
      <w:proofErr w:type="spellEnd"/>
      <w:r>
        <w:rPr>
          <w:color w:val="2D2D2D"/>
          <w:sz w:val="15"/>
          <w:szCs w:val="15"/>
        </w:rPr>
        <w:t xml:space="preserve"> осей валов агрегатов, соединяемых сцеплением, не должно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- 0,1 мм - при максимальном числе оборотов коленчатого вала двигателя свыше 3000 мин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ГОСТ Р 53409-2009 Автомобильные транспортные средства. Сцепления сухие фрикционные. Общие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- 0,2 мм - при максимальном числе оборотов коленчатого вала двигателя до 3000 мин</w:t>
      </w:r>
      <w:r>
        <w:rPr>
          <w:color w:val="2D2D2D"/>
          <w:sz w:val="15"/>
          <w:szCs w:val="15"/>
        </w:rPr>
        <w:pict>
          <v:shape id="_x0000_i1048" type="#_x0000_t75" alt="ГОСТ Р 53409-2009 Автомобильные транспортные средства. Сцепления сухие фрикционные. Общие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Максимальный крутящий момент, передаваемый сцеплением, должен быть в пределах: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- 1,20-1,75 </w:t>
      </w:r>
      <w:proofErr w:type="spellStart"/>
      <w:proofErr w:type="gram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49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для</w:t>
      </w:r>
      <w:proofErr w:type="gramEnd"/>
      <w:r>
        <w:rPr>
          <w:color w:val="2D2D2D"/>
          <w:sz w:val="15"/>
          <w:szCs w:val="15"/>
        </w:rPr>
        <w:t xml:space="preserve"> легковых автомобилей;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- 1,60-2,25 </w:t>
      </w:r>
      <w:proofErr w:type="spell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50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для грузовых автомобилей и автобусов;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- 2,00-3,00 </w:t>
      </w:r>
      <w:proofErr w:type="spell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51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для грузовых автомобилей с прицепом и большегрузных автомобилей;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52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максимальный крутящий момент двигателя транспортного средства, для которого предназначено сцепление.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Ход выключения сцепления должен обеспечивать отсоединение двигателя от трансмиссии без явлений "ведения".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Допустимый дисбаланс (</w:t>
      </w:r>
      <w:r w:rsidRPr="00A33386">
        <w:rPr>
          <w:color w:val="2D2D2D"/>
          <w:sz w:val="15"/>
          <w:szCs w:val="15"/>
        </w:rPr>
        <w:t>ГОСТ 22061</w:t>
      </w:r>
      <w:r>
        <w:rPr>
          <w:color w:val="2D2D2D"/>
          <w:sz w:val="15"/>
          <w:szCs w:val="15"/>
        </w:rPr>
        <w:t>) ведущего (нажимного) диска с кожухом, ведомого диска, среднего ведущего диска двухдискового сцепления не должен быть более произведения их массы и допустимого удельного дисбаланса, указанного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6"/>
        <w:gridCol w:w="3545"/>
        <w:gridCol w:w="3378"/>
      </w:tblGrid>
      <w:tr w:rsidR="00A33386" w:rsidTr="00A33386">
        <w:trPr>
          <w:trHeight w:val="15"/>
        </w:trPr>
        <w:tc>
          <w:tcPr>
            <w:tcW w:w="3881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Наружный диаметр поверхности трения сцепления,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Допустимый удельный дисбаланс, </w:t>
            </w:r>
            <w:proofErr w:type="spellStart"/>
            <w:r>
              <w:rPr>
                <w:color w:val="2D2D2D"/>
                <w:sz w:val="15"/>
                <w:szCs w:val="15"/>
              </w:rPr>
              <w:t>гсм</w:t>
            </w:r>
            <w:proofErr w:type="spellEnd"/>
            <w:r>
              <w:rPr>
                <w:color w:val="2D2D2D"/>
                <w:sz w:val="15"/>
                <w:szCs w:val="15"/>
              </w:rPr>
              <w:t>/кг, не более</w:t>
            </w:r>
          </w:p>
        </w:tc>
      </w:tr>
      <w:tr w:rsidR="00A33386" w:rsidTr="00A33386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ведущего диска с кожухом в сборе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ведомого диска</w:t>
            </w: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160-210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215-240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250-300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310-350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 (4,5*)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</w:tr>
      <w:tr w:rsidR="00A33386" w:rsidTr="00A3338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380-430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</w:tr>
      <w:tr w:rsidR="00A33386" w:rsidTr="00A33386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среднего ведущего диска (для двухдискового сцепления).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Для ведущих дисков сцепления, центрирование и установка кожуха которых на маховике осуществляется посредством пары "паз-шип", допустимый дисбаланс определяет предприятие-разработчик.</w:t>
            </w:r>
          </w:p>
        </w:tc>
      </w:tr>
    </w:tbl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5.6 Торцовое биение концов рычагов (упорного кольца, пяты, лепестков) ведущего (нажимного) диска сцепления не должно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- 0,65 мм - для легковых автомобилей с системой привода выключения сцепления без постоянного поджатия муфты выключения сцепления к концам рычагов (упорного кольца, пяты, лепестков) ведущего (нажимного) диска сцепления;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- 0,80 мм - для остальных автомобилей.</w:t>
      </w:r>
      <w:r>
        <w:rPr>
          <w:color w:val="2D2D2D"/>
          <w:sz w:val="15"/>
          <w:szCs w:val="15"/>
        </w:rPr>
        <w:br/>
      </w:r>
      <w:proofErr w:type="gramEnd"/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Перемещение нажимного диска при установленном перемещении концов рычагов (упорного кольца, пяты, лепестков) должно быть не менее суммы увеличения толщины ведомого диска при снятии осевой нагрузки и максимально допустимого его торцового биения плюс 0,2 мм.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Погрешность перемещения среднего ведущего диска двухдискового сцепления к положению равновесия после прижатия его к опорной поверхности не должна быть более 0,1 мм.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 Торцовое биение ведомого диска, измеренное на расстоянии, равном внутреннему радиусу накладок плюс 2/3 их ширины, не должно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- 0,5 мм - для легковых автомобилей;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- 0,8 мм - для грузовых автомобилей, автобусов.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Допускается проводить комплексный контроль торцового биения поверхностей трения фрикционных накладок, их отклонений от плоскостности и параллельности с использованием приспособления, между двумя дисками которого, расположенными на заданном в КД расстоянии друг от друга, на шлицевом вале посажен контролируемый ведомый диск. В этом приспособлении сопротивление вращению ведомого диска не должно превышать заданного в КД значения крутящего момента.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 Отклонение от параллельности поверхностей накладок ведомого диска не должно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- 0,2 мм - для легковых автомобилей;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- 0,6 мм - для грузовых автомобилей и автобусов под нагрузкой сжатия, соответствующей включенному состоянию сцепления.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 Расстояние от головок заклепок до поверхностей трения накладок ведомого диска должно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- 1,0 мм - для легковых автомобилей;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- 1,5 мм - для сцеплений грузовых автомобилей и автобусов.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5.12 Момент замыкания демпфера сцепления должен быть в пределах 1,0-1,4 </w:t>
      </w:r>
      <w:proofErr w:type="spell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53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 xml:space="preserve">, для легковых автомобилей - 1,25-1,45 </w:t>
      </w:r>
      <w:proofErr w:type="spellStart"/>
      <w:r>
        <w:rPr>
          <w:color w:val="2D2D2D"/>
          <w:sz w:val="15"/>
          <w:szCs w:val="15"/>
        </w:rPr>
        <w:t>Ме</w:t>
      </w:r>
      <w:proofErr w:type="spellEnd"/>
      <w:r>
        <w:rPr>
          <w:color w:val="2D2D2D"/>
          <w:sz w:val="15"/>
          <w:szCs w:val="15"/>
        </w:rPr>
        <w:pict>
          <v:shape id="_x0000_i1054" type="#_x0000_t75" alt="ГОСТ Р 53409-2009 Автомобильные транспортные средства. Сцепления сухие фрикционные. Общие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 Технические требования к фрикционным накладкам - по </w:t>
      </w:r>
      <w:r w:rsidRPr="00A33386">
        <w:rPr>
          <w:color w:val="2D2D2D"/>
          <w:sz w:val="15"/>
          <w:szCs w:val="15"/>
        </w:rPr>
        <w:t>ГОСТ 1786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 Торцовое биение поверхностей муфты, контактирующих с элементами ведущего диска сцепления (рычагами, упорным кольцом, пятой, лепестками), не должно быть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- 0,1 мм - для легковых автомобилей;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- 0,2 мм - для грузовых автомобилей и автобусов.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5.15 Усилие и радиальное перемещение подвижного в радиальном направлении подшипника муфты выключения сцепления должны обеспечивать его </w:t>
      </w:r>
      <w:proofErr w:type="spellStart"/>
      <w:r>
        <w:rPr>
          <w:color w:val="2D2D2D"/>
          <w:sz w:val="15"/>
          <w:szCs w:val="15"/>
        </w:rPr>
        <w:t>самоустановку</w:t>
      </w:r>
      <w:proofErr w:type="spellEnd"/>
      <w:r>
        <w:rPr>
          <w:color w:val="2D2D2D"/>
          <w:sz w:val="15"/>
          <w:szCs w:val="15"/>
        </w:rPr>
        <w:t xml:space="preserve"> и фиксацию его положения в процессе работы сцепления.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5.16 Перемещение муфты выключения сцепления в осевом направлении, относительное угловое перемещение элементов муфты выключения сцепления, перемещение троса привода выключения сцепления в осевом направлении относительно его оболочки, перемещения поршней главного и рабочего цилиндров гидравлической системы привода выключения сцепления в осевом направлении должны быть плавными и без заеданий.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 проверки сцеплений на соответствие требованиям настоящего стандарта они должны быть приняты службой технического контроля (далее - СТК) согласно технологическому процессу.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Сцепления должны быть подвергнуты сплошному или выборочному контролю СТК.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и методы приемки сцеплений СТК должны быть установлены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Положительные результаты приемки удостоверяют клеймом СТК. Метод и место нанесения клейма СТК должны быть установлены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По согласованию с потребителем допускаются иные условия приемо-сдаточного контроля.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Периодические испытания сцеплений проводят не реже одного раза в год и не менее трех сцеплений каждого варианта конструкции.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Параметры, контролируемые при контроле СТК и периодических испытаниях, представлены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6"/>
        <w:gridCol w:w="1228"/>
        <w:gridCol w:w="1056"/>
        <w:gridCol w:w="1059"/>
      </w:tblGrid>
      <w:tr w:rsidR="00A33386" w:rsidTr="00A33386">
        <w:trPr>
          <w:trHeight w:val="15"/>
        </w:trPr>
        <w:tc>
          <w:tcPr>
            <w:tcW w:w="8131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3386" w:rsidRDefault="00A33386">
            <w:pPr>
              <w:rPr>
                <w:sz w:val="2"/>
                <w:szCs w:val="24"/>
              </w:rPr>
            </w:pP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Приемка СТК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rPr>
                <w:sz w:val="24"/>
                <w:szCs w:val="24"/>
              </w:rPr>
            </w:pPr>
          </w:p>
        </w:tc>
      </w:tr>
      <w:tr w:rsidR="00A33386" w:rsidTr="00A33386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 и показателя качества</w:t>
            </w:r>
          </w:p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Сплошной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Выб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контроль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Период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испыта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Сцепление в сборе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Геометрические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Габаритный размер от плоскости вилки на выжимном подшипнике до поверхности трения на маховике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Отход нажимного диска при выжиме сцепления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Передаваемый сцеплением статический крутящий момент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выжима сцепления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Нажимной диск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Геометрические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концов лепестков нажимной пружины (упорного кольца, пяты, концов рычагов) до поверхности трения маховика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Остаточный дисбаланс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Циклическая долговечность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Средний диск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Остаточный дисбаланс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Ведомый диск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Геометрические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по накладкам под нагрузкой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головок заклепок до поверхностей трения накладок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Торцовое биение поверхностей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Остаточный дисбаланс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трения демпфера сцепления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замыкания демпфера сцепления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замыкания демпфера сцепления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Циклическая долговечность демпфера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Циклическая долговечность упругих пластин, к которым крепятся накладки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Муфта выключения сцепления с подшипником в сборе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Геометрические размеры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Шероховатость рабочих поверхностей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Плавность относительного углового перемещения элементов подшипника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A33386" w:rsidTr="00A3338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386" w:rsidRDefault="00A333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Знак "+" означает проведение испытаний,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их отсутствие.</w:t>
            </w:r>
          </w:p>
        </w:tc>
      </w:tr>
    </w:tbl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6.5 Потребитель имеет право проводить приемочный контроль - выборочную проверку сцеплений на соответствие требованиям настоящего стандарта в объеме 1% - 2% от партии, но не менее 3 шт.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в проверяемой партии окажутся сцепления, не удовлетворяющие требованиям настоящего стандарта, то контролю подвергают удвоенное количество сцеплений.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получения неудовлетворительных результатов при повторной проверке всю партию бракуют и возвращают предприятию-изготовителю.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 Предприятие-изготовитель имеет право провести разбраковку партии и предъявить ее к приемке потребителю повторно.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Партией считают: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 изготовителя - количество сцеплений, одновременно предъявленных для контроля;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 потребителя - количество сцеплений, одновременно поступивших от изготовителя по одному отгрузочному документу.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Контроль линейных размеров осуществляют средствами линейных измерений с допустимыми погрешностями, установленными </w:t>
      </w:r>
      <w:r w:rsidRPr="00A33386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Торцовое биение ведущего (нажимного), ведомого дисков и муфты выключения сцепления определяют при установке в центрах на специальных приспособлениях.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дисбаланса объекта испытаний (ведущего диска с кожухом в сборе, среднего ведущего и ведомого дисков сцепления) осуществляют его балансировку на специальном стенде или приспособлении.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Точность определения дисбаланса - 2,5% допустимой величины.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Крутящий момент, передаваемый сцеплением, момент замыкания и момент трения демпфера сцепления определяют на крутильной машине с точностью 2,5% максимального значения.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7.4.1 Момент замыкания демпфера сцепления определяют с </w:t>
      </w:r>
      <w:proofErr w:type="gramStart"/>
      <w:r>
        <w:rPr>
          <w:color w:val="2D2D2D"/>
          <w:sz w:val="15"/>
          <w:szCs w:val="15"/>
        </w:rPr>
        <w:t>помощью</w:t>
      </w:r>
      <w:proofErr w:type="gramEnd"/>
      <w:r>
        <w:rPr>
          <w:color w:val="2D2D2D"/>
          <w:sz w:val="15"/>
          <w:szCs w:val="15"/>
        </w:rPr>
        <w:t xml:space="preserve"> регистрируемой при испытаниях диаграммы "крутящий момент - угловое перемещение", и он соответствует крутящему моменту, при котором рост углового перемещения резко уменьшается.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7.4.2 Момент трения демпфера сцепления определяют с </w:t>
      </w:r>
      <w:proofErr w:type="gramStart"/>
      <w:r>
        <w:rPr>
          <w:color w:val="2D2D2D"/>
          <w:sz w:val="15"/>
          <w:szCs w:val="15"/>
        </w:rPr>
        <w:t>помощью</w:t>
      </w:r>
      <w:proofErr w:type="gramEnd"/>
      <w:r>
        <w:rPr>
          <w:color w:val="2D2D2D"/>
          <w:sz w:val="15"/>
          <w:szCs w:val="15"/>
        </w:rPr>
        <w:t xml:space="preserve"> регистрируемой при испытаниях диаграммы "крутящий момент - угловое перемещение" как </w:t>
      </w:r>
      <w:proofErr w:type="spellStart"/>
      <w:r>
        <w:rPr>
          <w:color w:val="2D2D2D"/>
          <w:sz w:val="15"/>
          <w:szCs w:val="15"/>
        </w:rPr>
        <w:t>полуразность</w:t>
      </w:r>
      <w:proofErr w:type="spellEnd"/>
      <w:r>
        <w:rPr>
          <w:color w:val="2D2D2D"/>
          <w:sz w:val="15"/>
          <w:szCs w:val="15"/>
        </w:rPr>
        <w:t xml:space="preserve"> моментов для ветвей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разгружения</w:t>
      </w:r>
      <w:proofErr w:type="spellEnd"/>
      <w:r>
        <w:rPr>
          <w:color w:val="2D2D2D"/>
          <w:sz w:val="15"/>
          <w:szCs w:val="15"/>
        </w:rPr>
        <w:t xml:space="preserve"> при угле закручивания, соответствующем максимальному ее значению.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Усилие выжима сцепления и ход выключения сцепления, перемещение нажимного и среднего дисков определяют на стенде "растяжение-сжатие".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Точность определения усилия выжима сцепления - 2,5%, а хода выключения сцепления, перемещения нажимного и среднего дисков - 1,5% максимальных значений.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Погрешность перемещения нажимного диска при установленном перемещении концов рычагов (упорного кольца, пяты, лепестков) измеряют в трех точках, расположенных по наибольшей окружности нажимного диска через 120°.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7.7 Шероховатость </w:t>
      </w:r>
      <w:proofErr w:type="gramStart"/>
      <w:r>
        <w:rPr>
          <w:color w:val="2D2D2D"/>
          <w:sz w:val="15"/>
          <w:szCs w:val="15"/>
        </w:rPr>
        <w:t>поверхности скольжения муфты выключения сцепления</w:t>
      </w:r>
      <w:proofErr w:type="gramEnd"/>
      <w:r>
        <w:rPr>
          <w:color w:val="2D2D2D"/>
          <w:sz w:val="15"/>
          <w:szCs w:val="15"/>
        </w:rPr>
        <w:t xml:space="preserve"> определяют с помощью профилометра.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 Плавность перемещения муфты выключения сцепления в осевом направлении, плавность относительного углового перемещения элементов муфты выключения сцепления, перемещений троса в оболочке, поршней главного и рабочего цилиндров привода выключения сцепления определяют при зафиксированном положении соответствующего </w:t>
      </w:r>
      <w:proofErr w:type="spellStart"/>
      <w:r>
        <w:rPr>
          <w:color w:val="2D2D2D"/>
          <w:sz w:val="15"/>
          <w:szCs w:val="15"/>
        </w:rPr>
        <w:t>контртела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Маркировка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целях идентификации сцепления должны иметь маркировку, содержащую: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идентификационный номер СЧ по [2];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 (марку), зарегистрированный в установленном порядке;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чертежное обозначение модели сцепления с указанием категории эксплуатации по </w:t>
      </w:r>
      <w:r w:rsidRPr="00A33386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изготовления, состоящую из двух и разделенных пробелом четырех цифр. Первые две цифры указывают месяц, а последующие четыре - год изготовления сцепления;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клеймо СТК.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8.2 Содержание, способ маркировки и место нанесения маркировки должны быть установлены в КД на изделие по </w:t>
      </w:r>
      <w:r w:rsidRPr="00A33386">
        <w:rPr>
          <w:color w:val="2D2D2D"/>
          <w:sz w:val="15"/>
          <w:szCs w:val="15"/>
        </w:rPr>
        <w:t>ГОСТ 2.314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Упаковка, транспортирование и хранение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9.1 Упаковка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9.1.1 Индивидуальная упаковка сцеплений должна обеспечивать их сохранность от механических повреждений, воздействия атмосферных осадков и загрязнений. Вид упаковки должен быть установлен в договоре на поставку.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9.1.2 Сцепления в индивидуальной упаковке укладывают в деревянные ящики по </w:t>
      </w:r>
      <w:r w:rsidRPr="00A33386">
        <w:rPr>
          <w:color w:val="2D2D2D"/>
          <w:sz w:val="15"/>
          <w:szCs w:val="15"/>
        </w:rPr>
        <w:t>ГОСТ 16536</w:t>
      </w:r>
      <w:r>
        <w:rPr>
          <w:color w:val="2D2D2D"/>
          <w:sz w:val="15"/>
          <w:szCs w:val="15"/>
        </w:rPr>
        <w:t>и </w:t>
      </w:r>
      <w:r w:rsidRPr="00A33386">
        <w:rPr>
          <w:color w:val="2D2D2D"/>
          <w:sz w:val="15"/>
          <w:szCs w:val="15"/>
        </w:rPr>
        <w:t>ГОСТ 2991</w:t>
      </w:r>
      <w:r>
        <w:rPr>
          <w:color w:val="2D2D2D"/>
          <w:sz w:val="15"/>
          <w:szCs w:val="15"/>
        </w:rPr>
        <w:t> или </w:t>
      </w:r>
      <w:r w:rsidRPr="00A33386">
        <w:rPr>
          <w:color w:val="2D2D2D"/>
          <w:sz w:val="15"/>
          <w:szCs w:val="15"/>
        </w:rPr>
        <w:t>ГОСТ 24634</w:t>
      </w:r>
      <w:r>
        <w:rPr>
          <w:color w:val="2D2D2D"/>
          <w:sz w:val="15"/>
          <w:szCs w:val="15"/>
        </w:rPr>
        <w:t> - при поставках на экспорт.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9.1.3 Сцепления должны быть подвергнуты консервации в соответствии с требованиями </w:t>
      </w:r>
      <w:r w:rsidRPr="00A33386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упаковочную тару помещают упаковочные листы, в которых должны быть указаны: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 (марка), зарегистрированный в установленном порядке;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адрес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чертежное обозначение модели сцепления с указанием условий хранения;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количество сцеплений в таре;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консервации;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конечный срок хранения законсервированных сцеплений;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штамп СТК.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Упаковочный лист, отгрузочная спецификация и сертификат о качестве составляет и оформляет изготовитель.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отгрузке сцеплений в деревянных или из гофрированного картона ящиках маркировка на ящике должна соответствовать </w:t>
      </w:r>
      <w:r w:rsidRPr="00A33386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дополнительным требованиям, указанным в договорах на поставку или документах, заменяющих их.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9.2 Транспортирование и хранение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9.2.1 Транспортирование сцеплений допускается проводить любым видом транспорта, обеспечивающим их сохранность от механических повреждений, загрязнений и атмосферных осадков. Группа условий транспортирования - 6 (ОЖ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9.2.2 Группа условий хранения - 3 (ЖЗ) по </w:t>
      </w:r>
      <w:r w:rsidRPr="00A33386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применять другие условия транспортирования и хранения по </w:t>
      </w:r>
      <w:r w:rsidRPr="00A33386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которые отличаются от указанных в 7.3.1 и 7.3.2, если это оговорено в договоре на поставку сцеплений.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9.2.4 Сцепления, поставляемые на комплектацию, должны быть установлены на автомобиле не позднее чем через 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отгрузки с предприятия-изготовителя.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сцеплений, поставляемых в качестве запасных частей на экспорт, упаковка, условия транспортирования и хранения должны быть оговорены в договоре (соглашении) на поставку сцеплений.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Указания по эксплуатации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Эксплуатацию сцеплений, а также их техническое обслуживание осуществляют в соответствии с руководством по эксплуатации автомобилей,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11 Гарантии изготовителя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Предприятие-изготовитель гарантирует соответствие сцеплений требованиям настоящего стандарта при соблюдении установленных правил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11.2 Гарантийный срок эксплуатации и гарантийная наработка сцеплений, поставляемых в качестве комплектующих, должны быть не </w:t>
      </w:r>
      <w:proofErr w:type="gramStart"/>
      <w:r>
        <w:rPr>
          <w:color w:val="2D2D2D"/>
          <w:sz w:val="15"/>
          <w:szCs w:val="15"/>
        </w:rPr>
        <w:t>менее гарантийного</w:t>
      </w:r>
      <w:proofErr w:type="gramEnd"/>
      <w:r>
        <w:rPr>
          <w:color w:val="2D2D2D"/>
          <w:sz w:val="15"/>
          <w:szCs w:val="15"/>
        </w:rPr>
        <w:t xml:space="preserve"> срока и гарантийной наработки автомобилей,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Гарантийный срок сцеплений, поставляемых в качестве запасных частей, - 18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 момента установки их на автомобиль.</w:t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11.3 Гарантийный срок хранения сцеплений - 12 мес.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необходимости более длительного хранения сцеплений, в том числе поставляемых на экспорт, они должны быть законсервированы по </w:t>
      </w:r>
      <w:r w:rsidRPr="00A33386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 с соответствующим гарантийным увеличением срока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сцеплений исчисляют с даты их отгрузки потребителю.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33386" w:rsidRDefault="00A33386" w:rsidP="00A333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A33386" w:rsidRDefault="00A33386" w:rsidP="00A333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[1] ОСТ 37.001.286-84 Фрикционные сцепления. Приводы управления сцеплением. Термины и определения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[2] ОСТ 37.001.269-96 Транспортные средства.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A33386" w:rsidRDefault="00FC651B" w:rsidP="00A33386">
      <w:pPr>
        <w:rPr>
          <w:szCs w:val="15"/>
        </w:rPr>
      </w:pPr>
    </w:p>
    <w:sectPr w:rsidR="00FC651B" w:rsidRPr="00A3338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26B1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3C1A44"/>
    <w:multiLevelType w:val="multilevel"/>
    <w:tmpl w:val="9A0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FC3256"/>
    <w:multiLevelType w:val="multilevel"/>
    <w:tmpl w:val="946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41D7D"/>
    <w:multiLevelType w:val="multilevel"/>
    <w:tmpl w:val="E65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48187E"/>
    <w:multiLevelType w:val="multilevel"/>
    <w:tmpl w:val="BDC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681CCD"/>
    <w:multiLevelType w:val="multilevel"/>
    <w:tmpl w:val="4A4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40CE7"/>
    <w:multiLevelType w:val="multilevel"/>
    <w:tmpl w:val="7B7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93A"/>
    <w:multiLevelType w:val="hybridMultilevel"/>
    <w:tmpl w:val="F88C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833D38"/>
    <w:multiLevelType w:val="hybridMultilevel"/>
    <w:tmpl w:val="95D4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D724A3"/>
    <w:multiLevelType w:val="multilevel"/>
    <w:tmpl w:val="874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76075A"/>
    <w:multiLevelType w:val="multilevel"/>
    <w:tmpl w:val="7BE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D1F18"/>
    <w:multiLevelType w:val="multilevel"/>
    <w:tmpl w:val="3A7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C262D2"/>
    <w:multiLevelType w:val="multilevel"/>
    <w:tmpl w:val="B53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87711B"/>
    <w:multiLevelType w:val="multilevel"/>
    <w:tmpl w:val="B2E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247B0"/>
    <w:multiLevelType w:val="multilevel"/>
    <w:tmpl w:val="CE8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0"/>
  </w:num>
  <w:num w:numId="3">
    <w:abstractNumId w:val="42"/>
  </w:num>
  <w:num w:numId="4">
    <w:abstractNumId w:val="7"/>
  </w:num>
  <w:num w:numId="5">
    <w:abstractNumId w:val="33"/>
  </w:num>
  <w:num w:numId="6">
    <w:abstractNumId w:val="27"/>
  </w:num>
  <w:num w:numId="7">
    <w:abstractNumId w:val="26"/>
  </w:num>
  <w:num w:numId="8">
    <w:abstractNumId w:val="8"/>
  </w:num>
  <w:num w:numId="9">
    <w:abstractNumId w:val="36"/>
  </w:num>
  <w:num w:numId="10">
    <w:abstractNumId w:val="19"/>
  </w:num>
  <w:num w:numId="11">
    <w:abstractNumId w:val="20"/>
  </w:num>
  <w:num w:numId="12">
    <w:abstractNumId w:val="23"/>
  </w:num>
  <w:num w:numId="13">
    <w:abstractNumId w:val="35"/>
  </w:num>
  <w:num w:numId="14">
    <w:abstractNumId w:val="22"/>
  </w:num>
  <w:num w:numId="15">
    <w:abstractNumId w:val="5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4"/>
  </w:num>
  <w:num w:numId="23">
    <w:abstractNumId w:val="16"/>
  </w:num>
  <w:num w:numId="24">
    <w:abstractNumId w:val="17"/>
  </w:num>
  <w:num w:numId="25">
    <w:abstractNumId w:val="39"/>
  </w:num>
  <w:num w:numId="26">
    <w:abstractNumId w:val="32"/>
  </w:num>
  <w:num w:numId="27">
    <w:abstractNumId w:val="34"/>
  </w:num>
  <w:num w:numId="28">
    <w:abstractNumId w:val="9"/>
  </w:num>
  <w:num w:numId="29">
    <w:abstractNumId w:val="30"/>
  </w:num>
  <w:num w:numId="30">
    <w:abstractNumId w:val="41"/>
  </w:num>
  <w:num w:numId="31">
    <w:abstractNumId w:val="15"/>
  </w:num>
  <w:num w:numId="32">
    <w:abstractNumId w:val="13"/>
  </w:num>
  <w:num w:numId="33">
    <w:abstractNumId w:val="37"/>
  </w:num>
  <w:num w:numId="34">
    <w:abstractNumId w:val="44"/>
  </w:num>
  <w:num w:numId="35">
    <w:abstractNumId w:val="28"/>
  </w:num>
  <w:num w:numId="36">
    <w:abstractNumId w:val="10"/>
  </w:num>
  <w:num w:numId="37">
    <w:abstractNumId w:val="21"/>
  </w:num>
  <w:num w:numId="38">
    <w:abstractNumId w:val="24"/>
  </w:num>
  <w:num w:numId="39">
    <w:abstractNumId w:val="12"/>
  </w:num>
  <w:num w:numId="40">
    <w:abstractNumId w:val="45"/>
  </w:num>
  <w:num w:numId="41">
    <w:abstractNumId w:val="3"/>
  </w:num>
  <w:num w:numId="42">
    <w:abstractNumId w:val="11"/>
  </w:num>
  <w:num w:numId="43">
    <w:abstractNumId w:val="31"/>
  </w:num>
  <w:num w:numId="44">
    <w:abstractNumId w:val="18"/>
  </w:num>
  <w:num w:numId="45">
    <w:abstractNumId w:val="29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1009B"/>
    <w:rsid w:val="0059308D"/>
    <w:rsid w:val="005D6E61"/>
    <w:rsid w:val="00604B84"/>
    <w:rsid w:val="006B6B83"/>
    <w:rsid w:val="007214CA"/>
    <w:rsid w:val="007E5D19"/>
    <w:rsid w:val="00826B17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3338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quote">
    <w:name w:val="quote"/>
    <w:basedOn w:val="a"/>
    <w:rsid w:val="005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3486">
          <w:marLeft w:val="0"/>
          <w:marRight w:val="0"/>
          <w:marTop w:val="0"/>
          <w:marBottom w:val="129"/>
          <w:divBdr>
            <w:top w:val="none" w:sz="0" w:space="0" w:color="auto"/>
            <w:left w:val="single" w:sz="24" w:space="2" w:color="3DDD3F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74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051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03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22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9529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833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2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20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14741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7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06340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11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8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2017-10-23T14:50:00Z</dcterms:created>
  <dcterms:modified xsi:type="dcterms:W3CDTF">2017-10-23T14:50:00Z</dcterms:modified>
</cp:coreProperties>
</file>