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B" w:rsidRDefault="007B21BB" w:rsidP="007B21B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53827-2010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B21BB" w:rsidRDefault="007B21BB" w:rsidP="007B21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7B21BB" w:rsidRDefault="007B21BB" w:rsidP="007B21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7B21BB" w:rsidRDefault="007B21BB" w:rsidP="007B21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ПРУЖИНЫ ЦИЛИНДРИЧЕСКИЕ ВИНТОВЫЕ, ТОРСИОНЫ, СТАБИЛИЗАТОРЫ ПОДВЕСКИ</w:t>
      </w:r>
    </w:p>
    <w:p w:rsidR="007B21BB" w:rsidRDefault="007B21BB" w:rsidP="007B21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7B21BB" w:rsidRDefault="007B21BB" w:rsidP="007B21B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7B21BB">
        <w:rPr>
          <w:color w:val="3C3C3C"/>
          <w:sz w:val="41"/>
          <w:szCs w:val="41"/>
          <w:lang w:val="en-US"/>
        </w:rPr>
        <w:t xml:space="preserve">Cylindrical screw springs, torsions, stabilizers of suspension. 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B21BB" w:rsidRDefault="007B21BB" w:rsidP="007B21B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7B21BB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7B21BB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155-ст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7B21BB" w:rsidRDefault="007B21BB" w:rsidP="007B21B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винтовые пружины из стали круглого сечения, работающие на сжатие, и торсионы, применяемые в качестве упругих элементов подвесок, а также на торсионные стабилизаторы автомобильных транспортных средств (АТС) и устанавливает технические требования и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51585-2000</w:t>
      </w:r>
      <w:r>
        <w:rPr>
          <w:color w:val="2D2D2D"/>
          <w:sz w:val="15"/>
          <w:szCs w:val="15"/>
        </w:rPr>
        <w:t> Рессоры листовые автомобильных транспортных средств.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52430-2005</w:t>
      </w:r>
      <w:r>
        <w:rPr>
          <w:color w:val="2D2D2D"/>
          <w:sz w:val="15"/>
          <w:szCs w:val="15"/>
        </w:rPr>
        <w:t> Автомобильные транспортные средства. Передачи карданные автомобилей с шарнирами неравных угловых скоростей.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 xml:space="preserve"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</w:t>
      </w:r>
      <w:proofErr w:type="gramStart"/>
      <w:r>
        <w:rPr>
          <w:color w:val="2D2D2D"/>
          <w:sz w:val="15"/>
          <w:szCs w:val="15"/>
        </w:rPr>
        <w:t>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Пружины винтовые, торсионы и стабилизаторы должны соответствовать требованиям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Пружины винтовые, торсионы и стабилизаторы не должны иметь вмятин, трещин, повреждений покрытия, коррозии и других дефектов механического и металлургического происхождения.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качестве обязательных должны проверяться на соответствие требованиям настоящего стандарта и КД: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для всех деталей: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внешний вид;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геометрические размеры в свободном состоянии;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антикоррозионного покрытия.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для пружин: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контрольная высота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7.2pt;height:17.2pt"/>
        </w:pict>
      </w:r>
      <w:r>
        <w:rPr>
          <w:color w:val="2D2D2D"/>
          <w:sz w:val="15"/>
          <w:szCs w:val="15"/>
        </w:rPr>
        <w:t> при номинальной нагрузке </w:t>
      </w:r>
      <w:r>
        <w:rPr>
          <w:color w:val="2D2D2D"/>
          <w:sz w:val="15"/>
          <w:szCs w:val="15"/>
        </w:rPr>
        <w:pict>
          <v:shape id="_x0000_i1044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наименьшая рабочая высота </w:t>
      </w:r>
      <w:r>
        <w:rPr>
          <w:color w:val="2D2D2D"/>
          <w:sz w:val="15"/>
          <w:szCs w:val="15"/>
        </w:rPr>
        <w:pict>
          <v:shape id="_x0000_i1045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> при максимальной рабочей нагрузке </w:t>
      </w:r>
      <w:r>
        <w:rPr>
          <w:color w:val="2D2D2D"/>
          <w:sz w:val="15"/>
          <w:szCs w:val="15"/>
        </w:rPr>
        <w:pict>
          <v:shape id="_x0000_i1046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высота при соприкосновении всех витков </w:t>
      </w:r>
      <w:r>
        <w:rPr>
          <w:color w:val="2D2D2D"/>
          <w:sz w:val="15"/>
          <w:szCs w:val="15"/>
        </w:rPr>
        <w:pict>
          <v:shape id="_x0000_i1047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>, если такая деформация предусмотрена КД;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высота </w:t>
      </w:r>
      <w:r>
        <w:rPr>
          <w:color w:val="2D2D2D"/>
          <w:sz w:val="15"/>
          <w:szCs w:val="15"/>
        </w:rPr>
        <w:pict>
          <v:shape id="_x0000_i1048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>, указанная в КД, после осадки по 3.8;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жесткость пружины.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для торсионов и стабилизаторов: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ребровая кривизна и </w:t>
      </w:r>
      <w:proofErr w:type="spellStart"/>
      <w:r>
        <w:rPr>
          <w:color w:val="2D2D2D"/>
          <w:sz w:val="15"/>
          <w:szCs w:val="15"/>
        </w:rPr>
        <w:t>неплоскостность</w:t>
      </w:r>
      <w:proofErr w:type="spellEnd"/>
      <w:r>
        <w:rPr>
          <w:color w:val="2D2D2D"/>
          <w:sz w:val="15"/>
          <w:szCs w:val="15"/>
        </w:rPr>
        <w:t xml:space="preserve"> у пластинчатого торсиона;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сварного шва;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параметры, характеризующие упругость.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Отклонение размеров пружин от номинальных не должно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наружного диаметра </w:t>
      </w:r>
      <w:r>
        <w:rPr>
          <w:color w:val="2D2D2D"/>
          <w:sz w:val="15"/>
          <w:szCs w:val="15"/>
        </w:rPr>
        <w:pict>
          <v:shape id="_x0000_i1049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22.05pt;height:12.9pt"/>
        </w:pict>
      </w:r>
      <w:r>
        <w:rPr>
          <w:color w:val="2D2D2D"/>
          <w:sz w:val="15"/>
          <w:szCs w:val="15"/>
        </w:rPr>
        <w:t>0,8%;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полного числа витков </w:t>
      </w:r>
      <w:r>
        <w:rPr>
          <w:color w:val="2D2D2D"/>
          <w:sz w:val="15"/>
          <w:szCs w:val="15"/>
        </w:rPr>
        <w:pict>
          <v:shape id="_x0000_i1050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24.2pt;height:17.2pt"/>
        </w:pict>
      </w:r>
      <w:r>
        <w:rPr>
          <w:color w:val="2D2D2D"/>
          <w:sz w:val="15"/>
          <w:szCs w:val="15"/>
        </w:rPr>
        <w:t>0,125.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плоских торцов пружины длина плоской части должна быть не менее 0,7 витка.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 Отклонение оси пружины от перпендикулярности к опорной поверхности не должно превышать 3% высоты пружины в свободном состоянии.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 Пружины должны быть подвергнуты трехкратной осадке до соприкосновения витков или до высоты </w:t>
      </w:r>
      <w:r>
        <w:rPr>
          <w:color w:val="2D2D2D"/>
          <w:sz w:val="15"/>
          <w:szCs w:val="15"/>
        </w:rPr>
        <w:pict>
          <v:shape id="_x0000_i1051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>, указанной в КД, а торсионы и стабилизаторы - трехкратной закрутке на предельно допустимый угол </w:t>
      </w:r>
      <w:r>
        <w:rPr>
          <w:color w:val="2D2D2D"/>
          <w:sz w:val="15"/>
          <w:szCs w:val="15"/>
        </w:rPr>
        <w:pict>
          <v:shape id="_x0000_i1052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последующей осадке пружины или закрутке торсиона и стабилизатора </w:t>
      </w:r>
      <w:proofErr w:type="gramStart"/>
      <w:r>
        <w:rPr>
          <w:color w:val="2D2D2D"/>
          <w:sz w:val="15"/>
          <w:szCs w:val="15"/>
        </w:rPr>
        <w:t>на те</w:t>
      </w:r>
      <w:proofErr w:type="gramEnd"/>
      <w:r>
        <w:rPr>
          <w:color w:val="2D2D2D"/>
          <w:sz w:val="15"/>
          <w:szCs w:val="15"/>
        </w:rPr>
        <w:t xml:space="preserve"> же величины остаточная деформация и трещины должны отсутствовать.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Изготовленные цилиндрические винтовые пружины, торсионы, стабилизаторы подвески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- аттестовано в установленном порядке в соответствии с </w:t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Правила отбора образцов: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 Ac=0 и браковочным числом Re=1.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 Периодические испытания проводят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4.8.4 Правила отбора образцов: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  <w:proofErr w:type="gramEnd"/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 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граждан, или на соблюдение условий охраны окружающей среды, или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по тексту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End"/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з</w:t>
      </w:r>
      <w:proofErr w:type="spellEnd"/>
      <w:r>
        <w:rPr>
          <w:color w:val="2D2D2D"/>
          <w:sz w:val="15"/>
          <w:szCs w:val="15"/>
        </w:rPr>
        <w:t>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форма А.1 - для пружин;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форма А.2 - для торсионов и стабилизаторов.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А.3 и А.4).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испытаний предъявляют: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полный комплект КД, содержащий спецификации, сборочные чертежи и чертежи деталей;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технические условия (ТУ) на конкретные изделия или техническое описание.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Методы испытаний пружин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 Контроль размеров в ненагруженном состоянии: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диаметр прутка;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наружный диаметр пружины;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число витков;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отклонение оси пружины от перпендикулярности;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свободная высота.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Определение остаточной деформации.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5.2.2.1 Определение контрольной высоты при номинальной нагрузке.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5.2.2.2 Определение жесткости.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наружном осмотре проверяют наличие поверхностных дефектов, снижающих долговечность пружин: трещин, царапин, раковин или неровностей, а также других дефектов механического происхождения. Проверяется также наличие </w:t>
      </w:r>
      <w:proofErr w:type="spellStart"/>
      <w:r>
        <w:rPr>
          <w:color w:val="2D2D2D"/>
          <w:sz w:val="15"/>
          <w:szCs w:val="15"/>
        </w:rPr>
        <w:t>дробенаклепа</w:t>
      </w:r>
      <w:proofErr w:type="spellEnd"/>
      <w:r>
        <w:rPr>
          <w:color w:val="2D2D2D"/>
          <w:sz w:val="15"/>
          <w:szCs w:val="15"/>
        </w:rPr>
        <w:t xml:space="preserve"> и защитного антикоррозионного покрытия.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Контроль геометрических размеров пружин в ненагруженном состоянии.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5.2.4.1 Наружный диаметр пружины. Измерение проводят на верхнем и нижнем полных витках и в середине между ними. Проводят по два замера во взаимно перпендикулярных плоскостях.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5.2.4.2 Полное число витков.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5.2.4.3 Отклонение оси пружины от перпендикулярности к опорной поверхности.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5.2.4.4 Свободная высота пружины. Проводят по два замера во взаимно перпендикулярных плоскостях.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5.2.5 Измерение твердости - по </w:t>
      </w:r>
      <w:proofErr w:type="spellStart"/>
      <w:r>
        <w:rPr>
          <w:color w:val="2D2D2D"/>
          <w:sz w:val="15"/>
          <w:szCs w:val="15"/>
        </w:rPr>
        <w:t>Роквеллу</w:t>
      </w:r>
      <w:proofErr w:type="spellEnd"/>
      <w:r>
        <w:rPr>
          <w:color w:val="2D2D2D"/>
          <w:sz w:val="15"/>
          <w:szCs w:val="15"/>
        </w:rPr>
        <w:t xml:space="preserve"> в трех точках во взаимно перпендикулярных плоскостях.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 Измерение параметров пружины под нагрузкой.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5.2.6.1 Измерение производят на пружинах, подвергнутых осадке в соответствии с 3.8.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Измерение проводят на стенде, обеспечивающем возможность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пружины силой, направленной вдоль оси пружины. Стенд должен быть оборудован датчиком перемещения и силоизмерительным устройством, обеспечивающим возможность определения характеристики пружины. Точность определения силы - 5%, перемещения - 1 мм.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определения остаточной деформации перед </w:t>
      </w:r>
      <w:proofErr w:type="spellStart"/>
      <w:r>
        <w:rPr>
          <w:color w:val="2D2D2D"/>
          <w:sz w:val="15"/>
          <w:szCs w:val="15"/>
        </w:rPr>
        <w:t>нагружением</w:t>
      </w:r>
      <w:proofErr w:type="spellEnd"/>
      <w:r>
        <w:rPr>
          <w:color w:val="2D2D2D"/>
          <w:sz w:val="15"/>
          <w:szCs w:val="15"/>
        </w:rPr>
        <w:t xml:space="preserve"> пружины измеряют ее высоту (фиксируют положение штока стенда).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Пружину подвергают трехкратной осадке до соприкосновения витков или до высоты </w:t>
      </w:r>
      <w:r>
        <w:rPr>
          <w:color w:val="2D2D2D"/>
          <w:sz w:val="15"/>
          <w:szCs w:val="15"/>
        </w:rPr>
        <w:pict>
          <v:shape id="_x0000_i1053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>, указанной в КД. После снятия нагрузки вновь измеряют высоту свободной пружины (фиксируют новое положение поршня). Разница измерений (показаний датчика) определяет осадку пружины. Измерения проводят линейкой или по показаниям датчика. Точность измерения - 1 мм.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контрольной высоты пружины </w:t>
      </w:r>
      <w:r>
        <w:rPr>
          <w:color w:val="2D2D2D"/>
          <w:sz w:val="15"/>
          <w:szCs w:val="15"/>
        </w:rPr>
        <w:pict>
          <v:shape id="_x0000_i1054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7.2pt;height:17.2pt"/>
        </w:pict>
      </w:r>
      <w:r>
        <w:rPr>
          <w:color w:val="2D2D2D"/>
          <w:sz w:val="15"/>
          <w:szCs w:val="15"/>
        </w:rPr>
        <w:t> при номинальной нагрузке </w:t>
      </w:r>
      <w:r>
        <w:rPr>
          <w:color w:val="2D2D2D"/>
          <w:sz w:val="15"/>
          <w:szCs w:val="15"/>
        </w:rPr>
        <w:pict>
          <v:shape id="_x0000_i1055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фиксируют положение поршня при нагрузке </w:t>
      </w:r>
      <w:r>
        <w:rPr>
          <w:color w:val="2D2D2D"/>
          <w:sz w:val="15"/>
          <w:szCs w:val="15"/>
        </w:rPr>
        <w:pict>
          <v:shape id="_x0000_i1056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 и измеряют расстояние между поршнем и нижним торцом пружины (контроль нагрузки проводят по показаниям датчика силоизмерительного устройства). Измерения проводятся линейкой. Точность измерения высоты пружины ±1 мм, усилие - 5% от измеряемой величины.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линейной упругой характеристике пружины ее жесткость определяют в интервале ±25 мм от прогиба при номинальной нагрузке (приложение Б).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Характеристику пружины определяют при непрерывном ее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 xml:space="preserve"> с записью перемещения штока стенда и усилия на нем. Допускается </w:t>
      </w:r>
      <w:proofErr w:type="gramStart"/>
      <w:r>
        <w:rPr>
          <w:color w:val="2D2D2D"/>
          <w:sz w:val="15"/>
          <w:szCs w:val="15"/>
        </w:rPr>
        <w:t>ступенчатое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нагружение</w:t>
      </w:r>
      <w:proofErr w:type="spellEnd"/>
      <w:r>
        <w:rPr>
          <w:color w:val="2D2D2D"/>
          <w:sz w:val="15"/>
          <w:szCs w:val="15"/>
        </w:rPr>
        <w:t xml:space="preserve"> пружины.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нелинейной упругой характеристике пружины определяют зависимость жесткости пружины от величины прогиба (приложение В).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Методы испытаний торсионов и стабилизаторов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Контроль геометрических размеров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</w:t>
      </w:r>
      <w:proofErr w:type="gramEnd"/>
      <w:r>
        <w:rPr>
          <w:color w:val="2D2D2D"/>
          <w:sz w:val="15"/>
          <w:szCs w:val="15"/>
        </w:rPr>
        <w:t>змеряют полную и рабочую длину торсиона, ширину пластинчатого торсиона и высоту сварного шва. При цилиндрическом торсионе измеряют его диаметр.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Замер диаметра производят в трех местах, расположенных равномерно по длине торсиона.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Замер диаметра, ширины и высоты сварного шва производят штангенциркулем. Точность измерения - 0,1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полной длины торсиона производится линейкой с точностью 0,5 мм.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5.3.1.3 Проверка качества термообработки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Измерение твердости по </w:t>
      </w:r>
      <w:proofErr w:type="spellStart"/>
      <w:r>
        <w:rPr>
          <w:color w:val="2D2D2D"/>
          <w:sz w:val="15"/>
          <w:szCs w:val="15"/>
        </w:rPr>
        <w:t>Роквеллу</w:t>
      </w:r>
      <w:proofErr w:type="spellEnd"/>
      <w:r>
        <w:rPr>
          <w:color w:val="2D2D2D"/>
          <w:sz w:val="15"/>
          <w:szCs w:val="15"/>
        </w:rPr>
        <w:t xml:space="preserve"> производят в трех местах, расположенных равномерно подлине торсиона.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5.3.1.4 Определение остаточной деформации после закручивания.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Торсион закрепляют в местах, указанных в КД, и подвергают действию закручивающего момента. Место приложения момента и его величина или заданный угол закручивания должны соответствовать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торсионов, использующихся в качестве стабилизаторов, в случае отсутствия в КД указаний о величине момента или угла закручивания, предельный угол должен составлять 15° (при этом напряжение кручения не должно превышать 65 кН/см</w:t>
      </w:r>
      <w:r>
        <w:rPr>
          <w:color w:val="2D2D2D"/>
          <w:sz w:val="15"/>
          <w:szCs w:val="15"/>
        </w:rPr>
        <w:pict>
          <v:shape id="_x0000_i1057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Величина остаточной деформации после снятия нагрузки при повторном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 xml:space="preserve"> должна соответствовать требованиям КД, при отсутствии в КД требований остаточная деформация должна отсутствовать.</w:t>
      </w:r>
      <w:r>
        <w:rPr>
          <w:color w:val="2D2D2D"/>
          <w:sz w:val="15"/>
          <w:szCs w:val="15"/>
        </w:rPr>
        <w:br/>
      </w:r>
      <w:proofErr w:type="gramEnd"/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5.3.1.5 Определение параметров, характеризующих упругость (угловая жесткость, угол закручивания при заданном моменте или момент, необходимый для закручивания на заданный угол), проводят на оборудовании и по методикам, аналогичным применяемым при определении остаточной деформации. Показатели, характеризующие упругость, должны соответствовать КД.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5.3.1.6 Определение остаточной деформации и параметров, характеризующих упругость торсиона, производят на стенде для испытаний рессор (</w:t>
      </w:r>
      <w:r w:rsidRPr="007B21BB">
        <w:rPr>
          <w:color w:val="2D2D2D"/>
          <w:sz w:val="15"/>
          <w:szCs w:val="15"/>
        </w:rPr>
        <w:t xml:space="preserve">ГОСТ </w:t>
      </w:r>
      <w:proofErr w:type="gramStart"/>
      <w:r w:rsidRPr="007B21BB">
        <w:rPr>
          <w:color w:val="2D2D2D"/>
          <w:sz w:val="15"/>
          <w:szCs w:val="15"/>
        </w:rPr>
        <w:t>Р</w:t>
      </w:r>
      <w:proofErr w:type="gramEnd"/>
      <w:r w:rsidRPr="007B21BB">
        <w:rPr>
          <w:color w:val="2D2D2D"/>
          <w:sz w:val="15"/>
          <w:szCs w:val="15"/>
        </w:rPr>
        <w:t xml:space="preserve"> 51585</w:t>
      </w:r>
      <w:r>
        <w:rPr>
          <w:color w:val="2D2D2D"/>
          <w:sz w:val="15"/>
          <w:szCs w:val="15"/>
        </w:rPr>
        <w:t>) или на стенде для испытаний карданных валов (</w:t>
      </w:r>
      <w:r w:rsidRPr="007B21BB">
        <w:rPr>
          <w:color w:val="2D2D2D"/>
          <w:sz w:val="15"/>
          <w:szCs w:val="15"/>
        </w:rPr>
        <w:t>ГОСТ Р 52430</w:t>
      </w:r>
      <w:r>
        <w:rPr>
          <w:color w:val="2D2D2D"/>
          <w:sz w:val="15"/>
          <w:szCs w:val="15"/>
        </w:rPr>
        <w:t>), аттестованных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Указанные стенды должны быть оборудованы </w:t>
      </w:r>
      <w:proofErr w:type="spellStart"/>
      <w:r>
        <w:rPr>
          <w:color w:val="2D2D2D"/>
          <w:sz w:val="15"/>
          <w:szCs w:val="15"/>
        </w:rPr>
        <w:t>силоизмеряющими</w:t>
      </w:r>
      <w:proofErr w:type="spellEnd"/>
      <w:r>
        <w:rPr>
          <w:color w:val="2D2D2D"/>
          <w:sz w:val="15"/>
          <w:szCs w:val="15"/>
        </w:rPr>
        <w:t xml:space="preserve"> устройствами и датчиками, позволяющими фиксировать прилагаемый момент и угол закручивания.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торсионов малой жесткости может применяться также устройство, имитирующее опоры и заделку торсиона на автотранспортном средстве, с созданием момента гирями или динамометрами.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Изготовитель гарантирует соответствие пружин и торсионов требованиям настоящего стандарта при соблюдении условий эксплуатации и требований по уходу, изложенных в руководстве по эксплуатации автотранспортных средств (АТС).</w:t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Гарантийный срок эксплуатации и гарантийная наработка пружин и торсионов должны соответствовать гарантийному сроку и гарантийной наработке АТС, на котором они установлены.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А.1 - Протокол испытаний пружины подвески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4"/>
        <w:gridCol w:w="171"/>
        <w:gridCol w:w="338"/>
        <w:gridCol w:w="338"/>
        <w:gridCol w:w="504"/>
        <w:gridCol w:w="338"/>
        <w:gridCol w:w="337"/>
        <w:gridCol w:w="169"/>
        <w:gridCol w:w="699"/>
        <w:gridCol w:w="1543"/>
        <w:gridCol w:w="1179"/>
        <w:gridCol w:w="2659"/>
      </w:tblGrid>
      <w:tr w:rsidR="007B21BB" w:rsidTr="007B21BB">
        <w:trPr>
          <w:trHeight w:val="15"/>
        </w:trPr>
        <w:tc>
          <w:tcPr>
            <w:tcW w:w="2402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3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7B21BB" w:rsidTr="007B21BB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</w:tr>
      <w:tr w:rsidR="007B21BB" w:rsidTr="007B21BB"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</w:tr>
      <w:tr w:rsidR="007B21BB" w:rsidTr="007B21BB">
        <w:tc>
          <w:tcPr>
            <w:tcW w:w="5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</w:tr>
      <w:tr w:rsidR="007B21BB" w:rsidTr="007B21BB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</w:tr>
      <w:tr w:rsidR="007B21BB" w:rsidTr="007B21BB">
        <w:tc>
          <w:tcPr>
            <w:tcW w:w="46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</w:tr>
      <w:tr w:rsidR="007B21BB" w:rsidTr="007B21BB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</w:tr>
      <w:tr w:rsidR="007B21BB" w:rsidTr="007B21BB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</w:tr>
      <w:tr w:rsidR="007B21BB" w:rsidTr="007B21BB"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</w:tr>
      <w:tr w:rsidR="007B21BB" w:rsidTr="007B21B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</w:tbl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572"/>
        <w:gridCol w:w="522"/>
        <w:gridCol w:w="1829"/>
        <w:gridCol w:w="1212"/>
        <w:gridCol w:w="1736"/>
        <w:gridCol w:w="839"/>
        <w:gridCol w:w="2249"/>
        <w:gridCol w:w="348"/>
      </w:tblGrid>
      <w:tr w:rsidR="007B21BB" w:rsidTr="007B21BB">
        <w:trPr>
          <w:trHeight w:val="15"/>
        </w:trPr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44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7B21BB" w:rsidTr="007B21BB">
        <w:tc>
          <w:tcPr>
            <w:tcW w:w="44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9.1 Диаметр прутка,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9.2 Наружный 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при прогибе …мм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9.3 Полное число витков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9.4 Отклонение оси пружины от перпендикулярности, град.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9.5 Свободная высота,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9.6 Остаточная деформация,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9.7 Контрольная высота пружины,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</w:tbl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389"/>
        <w:gridCol w:w="175"/>
        <w:gridCol w:w="531"/>
        <w:gridCol w:w="1672"/>
        <w:gridCol w:w="171"/>
        <w:gridCol w:w="521"/>
        <w:gridCol w:w="688"/>
        <w:gridCol w:w="1715"/>
        <w:gridCol w:w="682"/>
        <w:gridCol w:w="335"/>
        <w:gridCol w:w="2078"/>
        <w:gridCol w:w="347"/>
      </w:tblGrid>
      <w:tr w:rsidR="007B21BB" w:rsidTr="007B21BB">
        <w:trPr>
          <w:trHeight w:val="15"/>
        </w:trPr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3</w:t>
            </w:r>
          </w:p>
        </w:tc>
      </w:tr>
      <w:tr w:rsidR="007B21BB" w:rsidTr="007B21BB">
        <w:tc>
          <w:tcPr>
            <w:tcW w:w="443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7B21BB" w:rsidTr="007B21BB">
        <w:tc>
          <w:tcPr>
            <w:tcW w:w="443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9.8 Жесткость пружины, кН/см, при прогибе ... мм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Пружина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</w:tr>
      <w:tr w:rsidR="007B21BB" w:rsidTr="007B21BB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7B21BB" w:rsidTr="007B21BB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Протокол испытаний торсиона или стабилизатора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4"/>
        <w:gridCol w:w="171"/>
        <w:gridCol w:w="338"/>
        <w:gridCol w:w="338"/>
        <w:gridCol w:w="504"/>
        <w:gridCol w:w="338"/>
        <w:gridCol w:w="336"/>
        <w:gridCol w:w="169"/>
        <w:gridCol w:w="700"/>
        <w:gridCol w:w="1543"/>
        <w:gridCol w:w="1179"/>
        <w:gridCol w:w="2659"/>
      </w:tblGrid>
      <w:tr w:rsidR="007B21BB" w:rsidTr="007B21BB">
        <w:trPr>
          <w:trHeight w:val="15"/>
        </w:trPr>
        <w:tc>
          <w:tcPr>
            <w:tcW w:w="2402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7B21BB" w:rsidTr="007B21BB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7B21BB" w:rsidTr="007B21BB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</w:tr>
      <w:tr w:rsidR="007B21BB" w:rsidTr="007B21BB"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</w:tr>
      <w:tr w:rsidR="007B21BB" w:rsidTr="007B21BB">
        <w:tc>
          <w:tcPr>
            <w:tcW w:w="5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</w:tr>
      <w:tr w:rsidR="007B21BB" w:rsidTr="007B21BB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</w:tr>
      <w:tr w:rsidR="007B21BB" w:rsidTr="007B21BB">
        <w:tc>
          <w:tcPr>
            <w:tcW w:w="46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</w:tr>
      <w:tr w:rsidR="007B21BB" w:rsidTr="007B21BB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</w:tr>
      <w:tr w:rsidR="007B21BB" w:rsidTr="007B21BB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</w:tr>
      <w:tr w:rsidR="007B21BB" w:rsidTr="007B21BB"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</w:tr>
      <w:tr w:rsidR="007B21BB" w:rsidTr="007B21B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</w:tbl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1190"/>
        <w:gridCol w:w="2361"/>
        <w:gridCol w:w="508"/>
        <w:gridCol w:w="181"/>
        <w:gridCol w:w="1211"/>
        <w:gridCol w:w="1050"/>
        <w:gridCol w:w="172"/>
        <w:gridCol w:w="690"/>
        <w:gridCol w:w="171"/>
        <w:gridCol w:w="2242"/>
        <w:gridCol w:w="348"/>
      </w:tblGrid>
      <w:tr w:rsidR="007B21BB" w:rsidTr="007B21BB">
        <w:trPr>
          <w:trHeight w:val="15"/>
        </w:trPr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7B21BB" w:rsidTr="007B21BB">
        <w:tc>
          <w:tcPr>
            <w:tcW w:w="48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7B21BB" w:rsidTr="007B21BB">
        <w:tc>
          <w:tcPr>
            <w:tcW w:w="48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Геометрические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длина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диаметр цилиндрического торсиона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ширина пластинчатого торсиона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сварного шва (пластинчатый торсион)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закрутки при контрольном моменте, градусы*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Жесткость торсиона, Н·м/мм (кгс·м/мм)*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остаточной деформации при моменте, Н·м (кгс·м)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0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Только для торсионов, работающих в качестве упругих элементов подвески.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</w:tr>
      <w:tr w:rsidR="007B21BB" w:rsidTr="007B21BB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</w:p>
        </w:tc>
      </w:tr>
      <w:tr w:rsidR="007B21BB" w:rsidTr="007B21BB"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Форма А.3 -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1"/>
        <w:gridCol w:w="676"/>
        <w:gridCol w:w="341"/>
        <w:gridCol w:w="1343"/>
        <w:gridCol w:w="501"/>
        <w:gridCol w:w="178"/>
        <w:gridCol w:w="2051"/>
        <w:gridCol w:w="340"/>
        <w:gridCol w:w="689"/>
        <w:gridCol w:w="172"/>
        <w:gridCol w:w="1945"/>
        <w:gridCol w:w="712"/>
      </w:tblGrid>
      <w:tr w:rsidR="007B21BB" w:rsidTr="007B21BB">
        <w:trPr>
          <w:trHeight w:val="15"/>
        </w:trPr>
        <w:tc>
          <w:tcPr>
            <w:tcW w:w="166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7B21BB" w:rsidTr="007B21B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7B21BB" w:rsidTr="007B21B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7B21BB" w:rsidTr="007B21B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7B21BB" w:rsidTr="007B21BB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периодических испытаний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7B21BB" w:rsidTr="007B21BB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7B21BB" w:rsidTr="007B21BB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</w:tr>
      <w:tr w:rsidR="007B21BB" w:rsidTr="007B21BB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</w:tr>
      <w:tr w:rsidR="007B21BB" w:rsidTr="007B21B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 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Акт составлен на основании Протокола периодических испытаний N ___ от "___"____________20__г.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</w:p>
        </w:tc>
      </w:tr>
      <w:tr w:rsidR="007B21BB" w:rsidTr="007B21BB"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7B21BB" w:rsidTr="007B21BB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А.4 -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3"/>
        <w:gridCol w:w="671"/>
        <w:gridCol w:w="339"/>
        <w:gridCol w:w="1333"/>
        <w:gridCol w:w="334"/>
        <w:gridCol w:w="175"/>
        <w:gridCol w:w="185"/>
        <w:gridCol w:w="1403"/>
        <w:gridCol w:w="676"/>
        <w:gridCol w:w="337"/>
        <w:gridCol w:w="685"/>
        <w:gridCol w:w="170"/>
        <w:gridCol w:w="1070"/>
        <w:gridCol w:w="1578"/>
      </w:tblGrid>
      <w:tr w:rsidR="007B21BB" w:rsidTr="007B21BB">
        <w:trPr>
          <w:trHeight w:val="15"/>
        </w:trPr>
        <w:tc>
          <w:tcPr>
            <w:tcW w:w="166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21BB" w:rsidRDefault="007B21BB">
            <w:pPr>
              <w:rPr>
                <w:sz w:val="2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7B21BB" w:rsidTr="007B21B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</w:tr>
      <w:tr w:rsidR="007B21BB" w:rsidTr="007B21B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7B21BB" w:rsidTr="007B21B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7B21BB" w:rsidTr="007B21BB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типовых испытаний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7B21BB" w:rsidTr="007B21BB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B21BB" w:rsidTr="007B21BB"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7B21BB" w:rsidTr="007B21BB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</w:t>
            </w:r>
          </w:p>
        </w:tc>
      </w:tr>
      <w:tr w:rsidR="007B21BB" w:rsidTr="007B21BB">
        <w:tc>
          <w:tcPr>
            <w:tcW w:w="961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</w:tr>
      <w:tr w:rsidR="007B21BB" w:rsidTr="007B21BB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</w:tr>
      <w:tr w:rsidR="007B21BB" w:rsidTr="007B21BB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испытаний; подтверждена (не подтверждена) целесообразность внесения предлагаемых изменений в конструкцию,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 технологический процесс изготовления 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Акт составлен на основании Протокола типовых испытаний N ___ от "____"________________20__г.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7B21BB" w:rsidTr="007B21BB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</w:tr>
      <w:tr w:rsidR="007B21BB" w:rsidTr="007B21BB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7B21BB" w:rsidTr="007B21BB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21BB" w:rsidRDefault="007B21B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Линейная упругая характеристика пружины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B21BB" w:rsidRDefault="007B21BB" w:rsidP="007B21B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275330" cy="3541395"/>
            <wp:effectExtent l="19050" t="0" r="1270" b="0"/>
            <wp:docPr id="34" name="Рисунок 34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Жесткость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218440"/>
            <wp:effectExtent l="19050" t="0" r="0" b="0"/>
            <wp:docPr id="35" name="Рисунок 35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H/мм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B21BB" w:rsidRDefault="007B21BB" w:rsidP="007B21B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Нелинейная упругая характеристика пружины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B21BB" w:rsidRDefault="007B21BB" w:rsidP="007B21B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408555" cy="1903730"/>
            <wp:effectExtent l="19050" t="0" r="0" b="0"/>
            <wp:docPr id="36" name="Рисунок 36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BB" w:rsidRDefault="007B21BB" w:rsidP="007B21B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Жесткость пружины </w:t>
      </w:r>
      <w:r>
        <w:rPr>
          <w:color w:val="2D2D2D"/>
          <w:sz w:val="15"/>
          <w:szCs w:val="15"/>
        </w:rPr>
        <w:pict>
          <v:shape id="_x0000_i1061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2.35pt;height:14.5pt"/>
        </w:pict>
      </w:r>
      <w:r>
        <w:rPr>
          <w:color w:val="2D2D2D"/>
          <w:sz w:val="15"/>
          <w:szCs w:val="15"/>
        </w:rPr>
        <w:t>, Н/мм, определяют, как минимум, в пяти точках зависимости нагрузки </w:t>
      </w:r>
      <w:r>
        <w:rPr>
          <w:color w:val="2D2D2D"/>
          <w:sz w:val="15"/>
          <w:szCs w:val="15"/>
        </w:rPr>
        <w:pict>
          <v:shape id="_x0000_i1062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от прогиба </w:t>
      </w:r>
      <w:r>
        <w:rPr>
          <w:color w:val="2D2D2D"/>
          <w:sz w:val="15"/>
          <w:szCs w:val="15"/>
        </w:rPr>
        <w:pict>
          <v:shape id="_x0000_i1063" type="#_x0000_t75" alt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 style="width:12.35pt;height:15.6pt"/>
        </w:pict>
      </w:r>
      <w:r>
        <w:rPr>
          <w:color w:val="2D2D2D"/>
          <w:sz w:val="15"/>
          <w:szCs w:val="15"/>
        </w:rPr>
        <w:t> как производную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198120"/>
            <wp:effectExtent l="19050" t="0" r="0" b="0"/>
            <wp:docPr id="40" name="Рисунок 40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3827-2010 Автомобильные транспортные средства. Пружины цилиндрические винтовые, торсионы, стабилизаторы подвеск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B21BB" w:rsidRDefault="00FC651B" w:rsidP="007B21BB">
      <w:pPr>
        <w:rPr>
          <w:szCs w:val="15"/>
        </w:rPr>
      </w:pPr>
    </w:p>
    <w:sectPr w:rsidR="00FC651B" w:rsidRPr="007B21BB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667D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3E7C08"/>
    <w:multiLevelType w:val="multilevel"/>
    <w:tmpl w:val="088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10607"/>
    <w:multiLevelType w:val="multilevel"/>
    <w:tmpl w:val="F214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7B2FE8"/>
    <w:multiLevelType w:val="multilevel"/>
    <w:tmpl w:val="144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7C3165"/>
    <w:multiLevelType w:val="multilevel"/>
    <w:tmpl w:val="4CE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B82D4F"/>
    <w:multiLevelType w:val="multilevel"/>
    <w:tmpl w:val="E91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F32B12"/>
    <w:multiLevelType w:val="multilevel"/>
    <w:tmpl w:val="0EB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570A5"/>
    <w:multiLevelType w:val="multilevel"/>
    <w:tmpl w:val="820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A004C4"/>
    <w:multiLevelType w:val="multilevel"/>
    <w:tmpl w:val="FEA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E769E"/>
    <w:multiLevelType w:val="multilevel"/>
    <w:tmpl w:val="BD38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37"/>
  </w:num>
  <w:num w:numId="4">
    <w:abstractNumId w:val="5"/>
  </w:num>
  <w:num w:numId="5">
    <w:abstractNumId w:val="28"/>
  </w:num>
  <w:num w:numId="6">
    <w:abstractNumId w:val="25"/>
  </w:num>
  <w:num w:numId="7">
    <w:abstractNumId w:val="23"/>
  </w:num>
  <w:num w:numId="8">
    <w:abstractNumId w:val="6"/>
  </w:num>
  <w:num w:numId="9">
    <w:abstractNumId w:val="31"/>
  </w:num>
  <w:num w:numId="10">
    <w:abstractNumId w:val="18"/>
  </w:num>
  <w:num w:numId="11">
    <w:abstractNumId w:val="19"/>
  </w:num>
  <w:num w:numId="12">
    <w:abstractNumId w:val="21"/>
  </w:num>
  <w:num w:numId="13">
    <w:abstractNumId w:val="30"/>
  </w:num>
  <w:num w:numId="14">
    <w:abstractNumId w:val="20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9"/>
  </w:num>
  <w:num w:numId="23">
    <w:abstractNumId w:val="12"/>
  </w:num>
  <w:num w:numId="24">
    <w:abstractNumId w:val="16"/>
  </w:num>
  <w:num w:numId="25">
    <w:abstractNumId w:val="33"/>
  </w:num>
  <w:num w:numId="26">
    <w:abstractNumId w:val="27"/>
  </w:num>
  <w:num w:numId="27">
    <w:abstractNumId w:val="29"/>
  </w:num>
  <w:num w:numId="28">
    <w:abstractNumId w:val="7"/>
  </w:num>
  <w:num w:numId="29">
    <w:abstractNumId w:val="26"/>
  </w:num>
  <w:num w:numId="30">
    <w:abstractNumId w:val="36"/>
  </w:num>
  <w:num w:numId="31">
    <w:abstractNumId w:val="10"/>
  </w:num>
  <w:num w:numId="32">
    <w:abstractNumId w:val="8"/>
  </w:num>
  <w:num w:numId="33">
    <w:abstractNumId w:val="13"/>
  </w:num>
  <w:num w:numId="34">
    <w:abstractNumId w:val="17"/>
  </w:num>
  <w:num w:numId="35">
    <w:abstractNumId w:val="24"/>
  </w:num>
  <w:num w:numId="36">
    <w:abstractNumId w:val="34"/>
  </w:num>
  <w:num w:numId="37">
    <w:abstractNumId w:val="39"/>
  </w:num>
  <w:num w:numId="38">
    <w:abstractNumId w:val="15"/>
  </w:num>
  <w:num w:numId="39">
    <w:abstractNumId w:val="38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667D4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B21BB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91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91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497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163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0971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02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62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39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9636224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397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760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1298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71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2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935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96240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05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10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2017-10-20T14:52:00Z</dcterms:created>
  <dcterms:modified xsi:type="dcterms:W3CDTF">2017-10-20T14:52:00Z</dcterms:modified>
</cp:coreProperties>
</file>