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2F" w:rsidRDefault="00DE472F" w:rsidP="00DE47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53839-2010 Двигатели автомобильные. Насосы жидкостные систем охлаждения. Технические требования и методы испытаний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53839-2010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Д24</w:t>
      </w:r>
    </w:p>
    <w:p w:rsidR="00DE472F" w:rsidRDefault="00DE472F" w:rsidP="00DE47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DE472F" w:rsidRDefault="00DE472F" w:rsidP="00DE47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Двигатели автомобильные</w:t>
      </w:r>
    </w:p>
    <w:p w:rsidR="00DE472F" w:rsidRDefault="00DE472F" w:rsidP="00DE47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НАСОСЫ ЖИДКОСТНЫЕ СИСТЕМ ОХЛАЖДЕНИЯ</w:t>
      </w:r>
    </w:p>
    <w:p w:rsidR="00DE472F" w:rsidRDefault="00DE472F" w:rsidP="00DE47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DE472F" w:rsidRPr="00DE472F" w:rsidRDefault="00DE472F" w:rsidP="00DE472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Automobile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engines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DE472F">
        <w:rPr>
          <w:color w:val="3C3C3C"/>
          <w:sz w:val="41"/>
          <w:szCs w:val="41"/>
          <w:lang w:val="en-US"/>
        </w:rPr>
        <w:t>Liquid pumps of cooling systems. Technical requirements and test methods</w:t>
      </w:r>
    </w:p>
    <w:p w:rsidR="00DE472F" w:rsidRP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DE472F">
        <w:rPr>
          <w:color w:val="2D2D2D"/>
          <w:sz w:val="15"/>
          <w:szCs w:val="15"/>
          <w:lang w:val="en-US"/>
        </w:rPr>
        <w:br/>
      </w:r>
      <w:r w:rsidRPr="00DE472F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</w:t>
      </w:r>
      <w:r w:rsidRPr="00DE472F">
        <w:rPr>
          <w:color w:val="2D2D2D"/>
          <w:sz w:val="15"/>
          <w:szCs w:val="15"/>
          <w:lang w:val="en-US"/>
        </w:rPr>
        <w:t xml:space="preserve"> 43.060.30</w:t>
      </w:r>
      <w:r w:rsidRPr="00DE472F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DE472F">
        <w:rPr>
          <w:color w:val="2D2D2D"/>
          <w:sz w:val="15"/>
          <w:szCs w:val="15"/>
          <w:lang w:val="en-US"/>
        </w:rPr>
        <w:t xml:space="preserve"> 45 0000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2010-09-15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DE472F" w:rsidRDefault="00DE472F" w:rsidP="00DE472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DE472F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DE472F">
        <w:rPr>
          <w:color w:val="2D2D2D"/>
          <w:sz w:val="15"/>
          <w:szCs w:val="15"/>
        </w:rPr>
        <w:t xml:space="preserve">ГОСТ </w:t>
      </w:r>
      <w:proofErr w:type="gramStart"/>
      <w:r w:rsidRPr="00DE472F">
        <w:rPr>
          <w:color w:val="2D2D2D"/>
          <w:sz w:val="15"/>
          <w:szCs w:val="15"/>
        </w:rPr>
        <w:t>Р</w:t>
      </w:r>
      <w:proofErr w:type="gramEnd"/>
      <w:r w:rsidRPr="00DE472F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DE472F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7 июля 2010 г. N 167-ст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1 Область применения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насосы жидкостные (далее - насосы), предназначенные для организации циркуляции охлаждающей жидкости в полостях систем охлаждения двигателя и систем отопления кабин (салонов) автомобиля.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технические требования и методы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E472F">
        <w:rPr>
          <w:color w:val="2D2D2D"/>
          <w:sz w:val="15"/>
          <w:szCs w:val="15"/>
        </w:rPr>
        <w:t xml:space="preserve">ГОСТ </w:t>
      </w:r>
      <w:proofErr w:type="gramStart"/>
      <w:r w:rsidRPr="00DE472F">
        <w:rPr>
          <w:color w:val="2D2D2D"/>
          <w:sz w:val="15"/>
          <w:szCs w:val="15"/>
        </w:rPr>
        <w:t>Р</w:t>
      </w:r>
      <w:proofErr w:type="gramEnd"/>
      <w:r w:rsidRPr="00DE472F">
        <w:rPr>
          <w:color w:val="2D2D2D"/>
          <w:sz w:val="15"/>
          <w:szCs w:val="15"/>
        </w:rPr>
        <w:t xml:space="preserve"> 8.568-97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E472F">
        <w:rPr>
          <w:color w:val="2D2D2D"/>
          <w:sz w:val="15"/>
          <w:szCs w:val="15"/>
        </w:rPr>
        <w:t xml:space="preserve">ГОСТ </w:t>
      </w:r>
      <w:proofErr w:type="gramStart"/>
      <w:r w:rsidRPr="00DE472F">
        <w:rPr>
          <w:color w:val="2D2D2D"/>
          <w:sz w:val="15"/>
          <w:szCs w:val="15"/>
        </w:rPr>
        <w:t>Р</w:t>
      </w:r>
      <w:proofErr w:type="gramEnd"/>
      <w:r w:rsidRPr="00DE472F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E472F">
        <w:rPr>
          <w:color w:val="2D2D2D"/>
          <w:sz w:val="15"/>
          <w:szCs w:val="15"/>
        </w:rPr>
        <w:t xml:space="preserve">ГОСТ </w:t>
      </w:r>
      <w:proofErr w:type="gramStart"/>
      <w:r w:rsidRPr="00DE472F">
        <w:rPr>
          <w:color w:val="2D2D2D"/>
          <w:sz w:val="15"/>
          <w:szCs w:val="15"/>
        </w:rPr>
        <w:t>Р</w:t>
      </w:r>
      <w:proofErr w:type="gramEnd"/>
      <w:r w:rsidRPr="00DE472F">
        <w:rPr>
          <w:color w:val="2D2D2D"/>
          <w:sz w:val="15"/>
          <w:szCs w:val="15"/>
        </w:rPr>
        <w:t xml:space="preserve"> ИСО/ТО 8550-1-2007</w:t>
      </w:r>
      <w:r>
        <w:rPr>
          <w:color w:val="2D2D2D"/>
          <w:sz w:val="15"/>
          <w:szCs w:val="15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E472F">
        <w:rPr>
          <w:color w:val="2D2D2D"/>
          <w:sz w:val="15"/>
          <w:szCs w:val="15"/>
        </w:rPr>
        <w:t xml:space="preserve">ГОСТ </w:t>
      </w:r>
      <w:proofErr w:type="gramStart"/>
      <w:r w:rsidRPr="00DE472F">
        <w:rPr>
          <w:color w:val="2D2D2D"/>
          <w:sz w:val="15"/>
          <w:szCs w:val="15"/>
        </w:rPr>
        <w:t>Р</w:t>
      </w:r>
      <w:proofErr w:type="gramEnd"/>
      <w:r w:rsidRPr="00DE472F">
        <w:rPr>
          <w:color w:val="2D2D2D"/>
          <w:sz w:val="15"/>
          <w:szCs w:val="15"/>
        </w:rPr>
        <w:t xml:space="preserve"> 50779.30-95</w:t>
      </w:r>
      <w:r>
        <w:rPr>
          <w:color w:val="2D2D2D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E472F">
        <w:rPr>
          <w:color w:val="2D2D2D"/>
          <w:sz w:val="15"/>
          <w:szCs w:val="15"/>
        </w:rPr>
        <w:t>ГОСТ 2405-88</w:t>
      </w:r>
      <w:r>
        <w:rPr>
          <w:color w:val="2D2D2D"/>
          <w:sz w:val="15"/>
          <w:szCs w:val="15"/>
        </w:rPr>
        <w:t xml:space="preserve"> Манометры, вакуумметры и </w:t>
      </w:r>
      <w:proofErr w:type="spellStart"/>
      <w:r>
        <w:rPr>
          <w:color w:val="2D2D2D"/>
          <w:sz w:val="15"/>
          <w:szCs w:val="15"/>
        </w:rPr>
        <w:t>мановакуумметры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напоромеры</w:t>
      </w:r>
      <w:proofErr w:type="spellEnd"/>
      <w:r>
        <w:rPr>
          <w:color w:val="2D2D2D"/>
          <w:sz w:val="15"/>
          <w:szCs w:val="15"/>
        </w:rPr>
        <w:t xml:space="preserve">, тягомеры и </w:t>
      </w:r>
      <w:proofErr w:type="spellStart"/>
      <w:r>
        <w:rPr>
          <w:color w:val="2D2D2D"/>
          <w:sz w:val="15"/>
          <w:szCs w:val="15"/>
        </w:rPr>
        <w:t>тягонапоромеры</w:t>
      </w:r>
      <w:proofErr w:type="spellEnd"/>
      <w:r>
        <w:rPr>
          <w:color w:val="2D2D2D"/>
          <w:sz w:val="15"/>
          <w:szCs w:val="15"/>
        </w:rPr>
        <w:t>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E472F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Машины, приборы и другие технические изделия. Исполнение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E472F">
        <w:rPr>
          <w:color w:val="2D2D2D"/>
          <w:sz w:val="15"/>
          <w:szCs w:val="15"/>
        </w:rPr>
        <w:t>ГОСТ 28498-90</w:t>
      </w:r>
      <w:r>
        <w:rPr>
          <w:color w:val="2D2D2D"/>
          <w:sz w:val="15"/>
          <w:szCs w:val="15"/>
        </w:rPr>
        <w:t xml:space="preserve"> Термометры жидкостные стеклянные. Общие технические требования. </w:t>
      </w:r>
      <w:proofErr w:type="gramStart"/>
      <w:r>
        <w:rPr>
          <w:color w:val="2D2D2D"/>
          <w:sz w:val="15"/>
          <w:szCs w:val="15"/>
        </w:rPr>
        <w:t>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3.1 Показатели и характеристики насосов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3.1.1 Функциональные показатели - показатели, характеризующие процесс преобразования механической энергии, подводимой к рабочему колесу насоса, в кинетическую и потенциальную энергию жидкости. </w:t>
      </w:r>
      <w:proofErr w:type="gramStart"/>
      <w:r>
        <w:rPr>
          <w:color w:val="2D2D2D"/>
          <w:sz w:val="15"/>
          <w:szCs w:val="15"/>
        </w:rPr>
        <w:t>Функциональными показателями являются: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подача - количество жидкости, проходящей через насос в единицу времени;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напор - увеличение удельной энергии жидкости между входным и выходным сечениями 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частота вращения крыльчатки (рабочего колеса);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мощность, затрачиваемая на привод 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кавитационный</w:t>
      </w:r>
      <w:proofErr w:type="spellEnd"/>
      <w:r>
        <w:rPr>
          <w:color w:val="2D2D2D"/>
          <w:sz w:val="15"/>
          <w:szCs w:val="15"/>
        </w:rPr>
        <w:t xml:space="preserve"> запас насоса - приведенный к оси насоса избыток удельной энергии жидкости на входе в насос над удельной энергией (упругостью) ее насыщенных паров;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допустимый </w:t>
      </w:r>
      <w:proofErr w:type="spellStart"/>
      <w:r>
        <w:rPr>
          <w:color w:val="2D2D2D"/>
          <w:sz w:val="15"/>
          <w:szCs w:val="15"/>
        </w:rPr>
        <w:t>кавитационный</w:t>
      </w:r>
      <w:proofErr w:type="spellEnd"/>
      <w:r>
        <w:rPr>
          <w:color w:val="2D2D2D"/>
          <w:sz w:val="15"/>
          <w:szCs w:val="15"/>
        </w:rPr>
        <w:t xml:space="preserve"> запас насоса - минимально допустимое значение </w:t>
      </w:r>
      <w:proofErr w:type="spellStart"/>
      <w:r>
        <w:rPr>
          <w:color w:val="2D2D2D"/>
          <w:sz w:val="15"/>
          <w:szCs w:val="15"/>
        </w:rPr>
        <w:t>кавитационного</w:t>
      </w:r>
      <w:proofErr w:type="spellEnd"/>
      <w:r>
        <w:rPr>
          <w:color w:val="2D2D2D"/>
          <w:sz w:val="15"/>
          <w:szCs w:val="15"/>
        </w:rPr>
        <w:t xml:space="preserve"> запаса, обеспечивающее работу насоса без кавитации;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критический </w:t>
      </w:r>
      <w:proofErr w:type="spellStart"/>
      <w:r>
        <w:rPr>
          <w:color w:val="2D2D2D"/>
          <w:sz w:val="15"/>
          <w:szCs w:val="15"/>
        </w:rPr>
        <w:t>кавитационный</w:t>
      </w:r>
      <w:proofErr w:type="spellEnd"/>
      <w:r>
        <w:rPr>
          <w:color w:val="2D2D2D"/>
          <w:sz w:val="15"/>
          <w:szCs w:val="15"/>
        </w:rPr>
        <w:t xml:space="preserve"> запас - значение </w:t>
      </w:r>
      <w:proofErr w:type="spellStart"/>
      <w:r>
        <w:rPr>
          <w:color w:val="2D2D2D"/>
          <w:sz w:val="15"/>
          <w:szCs w:val="15"/>
        </w:rPr>
        <w:t>кавитационного</w:t>
      </w:r>
      <w:proofErr w:type="spellEnd"/>
      <w:r>
        <w:rPr>
          <w:color w:val="2D2D2D"/>
          <w:sz w:val="15"/>
          <w:szCs w:val="15"/>
        </w:rPr>
        <w:t xml:space="preserve"> запаса, соответствующее снижению подачи на 2% относительно установленной конструкторской </w:t>
      </w:r>
      <w:r>
        <w:rPr>
          <w:color w:val="2D2D2D"/>
          <w:sz w:val="15"/>
          <w:szCs w:val="15"/>
        </w:rPr>
        <w:lastRenderedPageBreak/>
        <w:t>документацией (КД) величины.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3.1.2 Показатели надежности - показатели, характеризующие </w:t>
      </w:r>
      <w:proofErr w:type="spellStart"/>
      <w:r>
        <w:rPr>
          <w:color w:val="2D2D2D"/>
          <w:sz w:val="15"/>
          <w:szCs w:val="15"/>
        </w:rPr>
        <w:t>сохраняемость</w:t>
      </w:r>
      <w:proofErr w:type="spellEnd"/>
      <w:r>
        <w:rPr>
          <w:color w:val="2D2D2D"/>
          <w:sz w:val="15"/>
          <w:szCs w:val="15"/>
        </w:rPr>
        <w:t xml:space="preserve"> герметичности и функциональных показателей насоса под воздействием внешних и (или) внутренних нагрузок. Показателями надежности являются: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стойкость к внешнему вибрационному воздействию;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стойкость к высокотемпературному воздействию;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стойкость к низкотемпературному воздействию.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3.1.3 Функциональные характеристики насоса: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скоростная характеристика - изменение подачи, напора и мощности, затрачиваемой на привод насоса, при определенной постоянной величине </w:t>
      </w:r>
      <w:proofErr w:type="spellStart"/>
      <w:r>
        <w:rPr>
          <w:color w:val="2D2D2D"/>
          <w:sz w:val="15"/>
          <w:szCs w:val="15"/>
        </w:rPr>
        <w:t>дросселирования</w:t>
      </w:r>
      <w:proofErr w:type="spellEnd"/>
      <w:r>
        <w:rPr>
          <w:color w:val="2D2D2D"/>
          <w:sz w:val="15"/>
          <w:szCs w:val="15"/>
        </w:rPr>
        <w:t xml:space="preserve"> в зависимости от частоты вращения крыльчатки 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напорная характеристика - изменение напора насоса в зависимости от его подачи при различных частотах вращения крыльчатки;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энергетическая характеристика - изменение коэффициента полезного действия (КПД) и мощности, затрачиваемой на привод насоса, в зависимости от его подачи при различных частотах вращения крыльчатки;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частная </w:t>
      </w:r>
      <w:proofErr w:type="spellStart"/>
      <w:r>
        <w:rPr>
          <w:color w:val="2D2D2D"/>
          <w:sz w:val="15"/>
          <w:szCs w:val="15"/>
        </w:rPr>
        <w:t>кавитационная</w:t>
      </w:r>
      <w:proofErr w:type="spellEnd"/>
      <w:r>
        <w:rPr>
          <w:color w:val="2D2D2D"/>
          <w:sz w:val="15"/>
          <w:szCs w:val="15"/>
        </w:rPr>
        <w:t xml:space="preserve"> характеристика - изменение напора насоса в зависимости от </w:t>
      </w:r>
      <w:proofErr w:type="spellStart"/>
      <w:r>
        <w:rPr>
          <w:color w:val="2D2D2D"/>
          <w:sz w:val="15"/>
          <w:szCs w:val="15"/>
        </w:rPr>
        <w:t>кавитационного</w:t>
      </w:r>
      <w:proofErr w:type="spellEnd"/>
      <w:r>
        <w:rPr>
          <w:color w:val="2D2D2D"/>
          <w:sz w:val="15"/>
          <w:szCs w:val="15"/>
        </w:rPr>
        <w:t xml:space="preserve"> запаса при постоянном значении частоты вращения насоса и нескольких значениях подачи, соответствующих установленной частоте вращения;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кавитационная</w:t>
      </w:r>
      <w:proofErr w:type="spellEnd"/>
      <w:r>
        <w:rPr>
          <w:color w:val="2D2D2D"/>
          <w:sz w:val="15"/>
          <w:szCs w:val="15"/>
        </w:rPr>
        <w:t xml:space="preserve"> характеристика - изменение критического </w:t>
      </w:r>
      <w:proofErr w:type="spellStart"/>
      <w:r>
        <w:rPr>
          <w:color w:val="2D2D2D"/>
          <w:sz w:val="15"/>
          <w:szCs w:val="15"/>
        </w:rPr>
        <w:t>кавитационного</w:t>
      </w:r>
      <w:proofErr w:type="spellEnd"/>
      <w:r>
        <w:rPr>
          <w:color w:val="2D2D2D"/>
          <w:sz w:val="15"/>
          <w:szCs w:val="15"/>
        </w:rPr>
        <w:t xml:space="preserve"> запаса в зависимости от подачи насоса при определенной частоте вращения крыльчатки.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Насосы изготавливают в соответствии с требованиями настоящего стандарта и КД,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Насосы выпускают в общеклиматическом исполнении</w:t>
      </w:r>
      <w:proofErr w:type="gramStart"/>
      <w:r>
        <w:rPr>
          <w:color w:val="2D2D2D"/>
          <w:sz w:val="15"/>
          <w:szCs w:val="15"/>
        </w:rPr>
        <w:t xml:space="preserve"> О</w:t>
      </w:r>
      <w:proofErr w:type="gramEnd"/>
      <w:r>
        <w:rPr>
          <w:color w:val="2D2D2D"/>
          <w:sz w:val="15"/>
          <w:szCs w:val="15"/>
        </w:rPr>
        <w:t xml:space="preserve"> категории размещения 2 по </w:t>
      </w:r>
      <w:r w:rsidRPr="00DE472F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 КД на насосы должна содержать контрольные значения функциональных показателей, которые обеспечивают выполнение требований технических условий (ТУ) для конкретных моделей двигателей по температурному режиму, подаче и напору охлаждающей жидкости.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 Внешний вид насосов должен соответствовать требованиям КД и эталонному образцу,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 Детали насосов не должны иметь раковин, забоин, трещин, заусенцев и других дефектов, ухудшающих их показатели и внешний вид.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 Сальник насоса должен обеспечивать герметичность, то есть исключать утечку охлаждающей жидкости из полости насоса. Критерием герметичности является отсутствие каплепадения из дренажного отверстия и мест сопряжения корпусных деталей двигателя и насоса.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 Вал собранного насоса должен проворачиваться свободно и без заеданий.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 Насосы после испытаний должны сохранять герметичность и показатели стойкости к воздействию: внешнему вибрационному, высоко- и низкотемпературному.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 Ресурс насоса (срок службы без выполнения каких-либо ремонтов, не связанных с механическими повреждениями в результате аварий) должен соответствовать ресурсу двигателя, для которого он предназначен.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3.11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Безусловное выполнение требований 3.7 и 3.9 обеспечивает в эксплуатации оптимальный тепловой режим работы двигателя, не допуская аварийной потери охлаждающей жидкости и перегрева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Правила приемки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Изготовленные насосы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КД, договорах, контрактах (далее в разделе - нормативная и техническая документация).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качества и приемки изготовленные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приемке (контролю) службой технического контроля (СТК);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периодическим испытаниям;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Программа и виды контроля приведены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4"/>
        <w:gridCol w:w="1399"/>
        <w:gridCol w:w="1386"/>
        <w:gridCol w:w="1361"/>
        <w:gridCol w:w="1369"/>
      </w:tblGrid>
      <w:tr w:rsidR="00DE472F" w:rsidTr="00DE472F">
        <w:trPr>
          <w:trHeight w:val="15"/>
        </w:trPr>
        <w:tc>
          <w:tcPr>
            <w:tcW w:w="554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</w:tr>
      <w:tr w:rsidR="00DE472F" w:rsidTr="00DE47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контроля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стандарта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Обязательность проведения испытаний</w:t>
            </w:r>
          </w:p>
        </w:tc>
      </w:tr>
      <w:tr w:rsidR="00DE472F" w:rsidTr="00DE472F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технические требования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методы испытаний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приемка СТК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период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ческие</w:t>
            </w:r>
            <w:proofErr w:type="spellEnd"/>
          </w:p>
        </w:tc>
      </w:tr>
      <w:tr w:rsidR="00DE472F" w:rsidTr="00DE47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Контроль внешнего вида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3.5, 3.6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DE472F" w:rsidTr="00DE47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Контроль габаритных, установочных и присоединительных размеров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DE472F" w:rsidTr="00DE47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Испытания на герметичность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DE472F" w:rsidTr="00DE47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Контроль легкости вращения вала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DE472F" w:rsidTr="00DE47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Контроль функциональных показателей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DE472F" w:rsidTr="00DE47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Испытания на стойкость к внешнему вибрационному воздействию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DE472F" w:rsidTr="00DE47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Испытания на стойкость к высокотемпературному воздействию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DE472F" w:rsidTr="00DE47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Испытания на стойкость к низкотемпературному воздействию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DE472F" w:rsidTr="00DE472F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Примечание - "+" контроль проводят, </w:t>
            </w:r>
            <w:proofErr w:type="gramStart"/>
            <w:r>
              <w:rPr>
                <w:color w:val="2D2D2D"/>
                <w:sz w:val="15"/>
                <w:szCs w:val="15"/>
              </w:rPr>
              <w:t>"-</w:t>
            </w:r>
            <w:proofErr w:type="gramEnd"/>
            <w:r>
              <w:rPr>
                <w:color w:val="2D2D2D"/>
                <w:sz w:val="15"/>
                <w:szCs w:val="15"/>
              </w:rPr>
              <w:t>" контроль не проводят.</w:t>
            </w:r>
          </w:p>
        </w:tc>
      </w:tr>
    </w:tbl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>, а испытательное оборудование - аттестовано в установленном порядке по </w:t>
      </w:r>
      <w:r w:rsidRPr="00DE472F">
        <w:rPr>
          <w:color w:val="2D2D2D"/>
          <w:sz w:val="15"/>
          <w:szCs w:val="15"/>
        </w:rPr>
        <w:t xml:space="preserve">ГОСТ </w:t>
      </w:r>
      <w:proofErr w:type="gramStart"/>
      <w:r w:rsidRPr="00DE472F">
        <w:rPr>
          <w:color w:val="2D2D2D"/>
          <w:sz w:val="15"/>
          <w:szCs w:val="15"/>
        </w:rPr>
        <w:t>Р</w:t>
      </w:r>
      <w:proofErr w:type="gramEnd"/>
      <w:r w:rsidRPr="00DE472F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Приемка изделий службой технического контроля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4.7.1 Изготовленные изделия должны быть приняты СТК предприятия-изготовителя согласно технологическому процессу и должны иметь ее приемочное клеймо.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Последовательность проведения контроля, а также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 Основанием для принятия решения о приемке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4.7.3 Правила отбора образцов: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4.7.4 Приемку СТК проводят методом сплошного или выборочного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выборочном контроле рекомендуется применять процедуры выборочного контроля по </w:t>
      </w:r>
      <w:r w:rsidRPr="00DE472F">
        <w:rPr>
          <w:color w:val="2D2D2D"/>
          <w:sz w:val="15"/>
          <w:szCs w:val="15"/>
        </w:rPr>
        <w:t xml:space="preserve">ГОСТ </w:t>
      </w:r>
      <w:proofErr w:type="gramStart"/>
      <w:r w:rsidRPr="00DE472F">
        <w:rPr>
          <w:color w:val="2D2D2D"/>
          <w:sz w:val="15"/>
          <w:szCs w:val="15"/>
        </w:rPr>
        <w:t>Р</w:t>
      </w:r>
      <w:proofErr w:type="gramEnd"/>
      <w:r w:rsidRPr="00DE472F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. При этом значения объема выборки и приемлемого уровня качества (AQL) должны назначаться из установленных в </w:t>
      </w:r>
      <w:r w:rsidRPr="00DE472F">
        <w:rPr>
          <w:color w:val="2D2D2D"/>
          <w:sz w:val="15"/>
          <w:szCs w:val="15"/>
        </w:rPr>
        <w:t xml:space="preserve">ГОСТ </w:t>
      </w:r>
      <w:proofErr w:type="gramStart"/>
      <w:r w:rsidRPr="00DE472F">
        <w:rPr>
          <w:color w:val="2D2D2D"/>
          <w:sz w:val="15"/>
          <w:szCs w:val="15"/>
        </w:rPr>
        <w:t>Р</w:t>
      </w:r>
      <w:proofErr w:type="gramEnd"/>
      <w:r w:rsidRPr="00DE472F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 для одноступенчатого плана при нормальном контроле с приемочным числом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3839-2010 Двигатели автомобильные. Насосы жидкостные систем охлаждения.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0 и браковочным числом </w:t>
      </w:r>
      <w:r>
        <w:rPr>
          <w:color w:val="2D2D2D"/>
          <w:sz w:val="15"/>
          <w:szCs w:val="15"/>
        </w:rPr>
        <w:pict>
          <v:shape id="_x0000_i1028" type="#_x0000_t75" alt="ГОСТ Р 53839-2010 Двигатели автомобильные. Насосы жидкостные систем охлаждения. Технические требования и методы испытаний" style="width:26.85pt;height:14.5pt"/>
        </w:pict>
      </w:r>
      <w:r>
        <w:rPr>
          <w:color w:val="2D2D2D"/>
          <w:sz w:val="15"/>
          <w:szCs w:val="15"/>
        </w:rPr>
        <w:t>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приемке СТК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1, 2, 4 таблицы 1 - сплошному контролю;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3 таблицы 1 - выборочному контролю.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4.7.5 Приемку изделий СТК приостанавливают в следующих случаях: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изделия не выдержали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 на удвоенном количестве изделий.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 Правила проведения периодических испытаний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5"/>
          <w:szCs w:val="15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5"/>
          <w:szCs w:val="15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Последовательность проведения испытаний должна быть установлена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4.8.3 Периодическим испытаниям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5 таблицы 1 - не реже одного раза в три месяца;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6, 7, 8 таблицы 1 - не реже одного раза в год.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4.8.4 Правила отбора образцов: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5"/>
          <w:szCs w:val="15"/>
        </w:rPr>
        <w:br/>
      </w:r>
      <w:proofErr w:type="gramEnd"/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4.8.5 Периодические испытания проводят методом выборочного контроля. Система, схема и план приемочного контроля, включая объем выборки, устанавливается предприятием-изготовителем в технических условиях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Рекомендуемые системы, схемы и планы статистического приемочного выборочного контроля - по </w:t>
      </w:r>
      <w:r w:rsidRPr="00DE472F">
        <w:rPr>
          <w:color w:val="2D2D2D"/>
          <w:sz w:val="15"/>
          <w:szCs w:val="15"/>
        </w:rPr>
        <w:t xml:space="preserve">ГОСТ </w:t>
      </w:r>
      <w:proofErr w:type="gramStart"/>
      <w:r w:rsidRPr="00DE472F">
        <w:rPr>
          <w:color w:val="2D2D2D"/>
          <w:sz w:val="15"/>
          <w:szCs w:val="15"/>
        </w:rPr>
        <w:t>Р</w:t>
      </w:r>
      <w:proofErr w:type="gramEnd"/>
      <w:r w:rsidRPr="00DE472F">
        <w:rPr>
          <w:color w:val="2D2D2D"/>
          <w:sz w:val="15"/>
          <w:szCs w:val="15"/>
        </w:rPr>
        <w:t xml:space="preserve"> ИСО/ТО 8550-1</w:t>
      </w:r>
      <w:r>
        <w:rPr>
          <w:color w:val="2D2D2D"/>
          <w:sz w:val="15"/>
          <w:szCs w:val="15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DE472F">
        <w:rPr>
          <w:color w:val="2D2D2D"/>
          <w:sz w:val="15"/>
          <w:szCs w:val="15"/>
        </w:rPr>
        <w:t xml:space="preserve">ГОСТ </w:t>
      </w:r>
      <w:proofErr w:type="gramStart"/>
      <w:r w:rsidRPr="00DE472F">
        <w:rPr>
          <w:color w:val="2D2D2D"/>
          <w:sz w:val="15"/>
          <w:szCs w:val="15"/>
        </w:rPr>
        <w:t>Р</w:t>
      </w:r>
      <w:proofErr w:type="gramEnd"/>
      <w:r w:rsidRPr="00DE472F">
        <w:rPr>
          <w:color w:val="2D2D2D"/>
          <w:sz w:val="15"/>
          <w:szCs w:val="15"/>
        </w:rPr>
        <w:t xml:space="preserve"> 50779.30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4.8.7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 на удвоенном количестве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Предприятие-изготовитель должен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 на удвоенном количестве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принимаемых мерах по отгруженным (реализованным) изделиям.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4.8.12 Решение об использовании образцов изделий,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4.9 Правила проведения типовых испытаний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граждан, или на соблюдение условий охраны окружающей среды либо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5"/>
          <w:szCs w:val="15"/>
        </w:rPr>
        <w:br/>
      </w:r>
      <w:proofErr w:type="gramEnd"/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(далее - разработчик изделия) с учетом действия и защиты авторского права.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необходимые проверки из состава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5"/>
          <w:szCs w:val="15"/>
        </w:rPr>
        <w:t>утилизируемость</w:t>
      </w:r>
      <w:proofErr w:type="spellEnd"/>
      <w:r>
        <w:rPr>
          <w:color w:val="2D2D2D"/>
          <w:sz w:val="15"/>
          <w:szCs w:val="15"/>
        </w:rPr>
        <w:t xml:space="preserve"> изделий.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4.9.9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4.10 Отчетность о результатах испытаний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наименование документа - "Протокол испытаний";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вид испытаний (</w:t>
      </w:r>
      <w:proofErr w:type="gramStart"/>
      <w:r>
        <w:rPr>
          <w:color w:val="2D2D2D"/>
          <w:sz w:val="15"/>
          <w:szCs w:val="15"/>
        </w:rPr>
        <w:t>периодические</w:t>
      </w:r>
      <w:proofErr w:type="gramEnd"/>
      <w:r>
        <w:rPr>
          <w:color w:val="2D2D2D"/>
          <w:sz w:val="15"/>
          <w:szCs w:val="15"/>
        </w:rPr>
        <w:t>, типовые и др.);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нумерацию страниц с указанием общего числа страниц;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е) наименование и адрес изготовителя испытываемого изделия;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идентификацию используемого метода;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л)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м) результаты испытаний с указанием (при необходимости) единиц измерений;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) имя, должность и подпись лица, утвердившего протокол испытаний;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п</w:t>
      </w:r>
      <w:proofErr w:type="spellEnd"/>
      <w:r>
        <w:rPr>
          <w:color w:val="2D2D2D"/>
          <w:sz w:val="15"/>
          <w:szCs w:val="15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перечисленным в 4.10.3,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указание на соответствие/несоответствие требованиям и/или техническим условиям;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мнения и толкования, которые могут, в частности, касаться следующего: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о соответствии/несоответствии результатов требованиям;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рекомендаций по использованию результатов;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по улучшению образцов.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приведенным в 4.10.3 и 4.10.4,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ссылку на план и процедуры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5"/>
          <w:szCs w:val="15"/>
        </w:rPr>
        <w:br/>
      </w:r>
      <w:proofErr w:type="gramEnd"/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4.10.6 Рекомендуемая форма протокола испытаний приведена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(форма А.1).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(формы А.2 и А.3).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испытаний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Контроль внешнего вида насосов на соответствие требованиям 3.5, 3.6 и контрольным образцам проводят внешним осмотром.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5.2 Соответствие габаритных, установочных и присоединительных размеров проверяют универсальным измерительным инструментом или калибрами.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Проверку насосов на герметичность сальников по 3.7 проводят на стенде при частоте вращения вала насоса, составляющей от 80% до 90% от номинальной при противодавлении на выходе от 50 до 60 кПа, температуре жидкости не менее 40 °С. Давление жидкости измеряется манометрами по </w:t>
      </w:r>
      <w:r w:rsidRPr="00DE472F">
        <w:rPr>
          <w:color w:val="2D2D2D"/>
          <w:sz w:val="15"/>
          <w:szCs w:val="15"/>
        </w:rPr>
        <w:t>ГОСТ 2405</w:t>
      </w:r>
      <w:r>
        <w:rPr>
          <w:color w:val="2D2D2D"/>
          <w:sz w:val="15"/>
          <w:szCs w:val="15"/>
        </w:rPr>
        <w:t>, температура - термометрами по </w:t>
      </w:r>
      <w:r w:rsidRPr="00DE472F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>. Проверку проводят в течение не менее трех минут.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Легкость вращения вала насоса по 3.8 проверяют прикладываемым к крыльчатке или ступице усилием от руки и сравнивают с эталонным образцом. Вал должен вращаться свободно без заеданий.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5.5 Испытания насосов на соответствие их функциональных показателей контрольным характеристикам по 3.4 проводят на специализированных стендах, предназначенных для определения характеристик испытываемых насосов. Жидкостные контуры стендов заполняют охлаждающей жидкостью согласно </w:t>
      </w:r>
      <w:proofErr w:type="spellStart"/>
      <w:r>
        <w:rPr>
          <w:color w:val="2D2D2D"/>
          <w:sz w:val="15"/>
          <w:szCs w:val="15"/>
        </w:rPr>
        <w:t>химмотологической</w:t>
      </w:r>
      <w:proofErr w:type="spellEnd"/>
      <w:r>
        <w:rPr>
          <w:color w:val="2D2D2D"/>
          <w:sz w:val="15"/>
          <w:szCs w:val="15"/>
        </w:rPr>
        <w:t xml:space="preserve"> карте двигателя, для которого предназначен испытуемый насос. Допускается использование чистой водопроводной воды в качестве рабочей жидкости.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зависимости от конструктивного типа насосов применяют следующие виды стендов: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стенд для испытаний насосов независимой конструкции, имеющих механический привод от коленчатого вала двигателя. Привод должен обеспечивать регулирование частоты вращения крыльчатки и измерение крутящего момента;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стенд для испытаний насосов независимой конструкции, выполненных в одном агрегате с электродвигателем. Питание электродвигателя - от источника электроэнергии соответствующего напряжения 12 или 24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стенд для испытаний насосов зависимой конструкции. Стенд должен иметь в своем составе макет жидкостного тракта системы охлаждения двигателя, для которого он предназначен. В этом случае жидкостные полости двигателя совместно с жидкостными </w:t>
      </w:r>
      <w:proofErr w:type="gramStart"/>
      <w:r>
        <w:rPr>
          <w:color w:val="2D2D2D"/>
          <w:sz w:val="15"/>
          <w:szCs w:val="15"/>
        </w:rPr>
        <w:t>полостями</w:t>
      </w:r>
      <w:proofErr w:type="gramEnd"/>
      <w:r>
        <w:rPr>
          <w:color w:val="2D2D2D"/>
          <w:sz w:val="15"/>
          <w:szCs w:val="15"/>
        </w:rPr>
        <w:t xml:space="preserve"> установленного на него насоса образуют проточную часть насоса. Привод насоса должен обеспечивать регулирование частоты вращения крыльчатки и включать в себя устройство для измерения крутящего момента. Макет жидкостного тракта должен включать в себя все составные части двигателя (блок и головка блока цилиндров, терморегулятор с принудительно открытым основным клапаном термостата), что необходимо для организации движения жидкости в основном контуре циркуляции системы охлаждения. Величину расхода жидкости определяют методом "тарированного сопротивления", в качестве которого рекомендуется использовать штатный радиатор системы охлаждения двигателя, для которого предназначен насос. Гидравлическое сопротивление радиатора в зависимости от расхода воды определяют при его испытаниях в комплекте с </w:t>
      </w:r>
      <w:proofErr w:type="spellStart"/>
      <w:r>
        <w:rPr>
          <w:color w:val="2D2D2D"/>
          <w:sz w:val="15"/>
          <w:szCs w:val="15"/>
        </w:rPr>
        <w:t>расходомерным</w:t>
      </w:r>
      <w:proofErr w:type="spellEnd"/>
      <w:r>
        <w:rPr>
          <w:color w:val="2D2D2D"/>
          <w:sz w:val="15"/>
          <w:szCs w:val="15"/>
        </w:rPr>
        <w:t xml:space="preserve"> устройством.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5.6 Общие требования к стендам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5.6.1 Жидкостные тракты стендов должны быть выполнены по закрытой схеме с регулированием давления (разрежения) во внутренних полостях. В общем случае состав стендов должен включать в себя бак с нагревателями и </w:t>
      </w:r>
      <w:proofErr w:type="spellStart"/>
      <w:r>
        <w:rPr>
          <w:color w:val="2D2D2D"/>
          <w:sz w:val="15"/>
          <w:szCs w:val="15"/>
        </w:rPr>
        <w:t>вакуумнасосом</w:t>
      </w:r>
      <w:proofErr w:type="spellEnd"/>
      <w:r>
        <w:rPr>
          <w:color w:val="2D2D2D"/>
          <w:sz w:val="15"/>
          <w:szCs w:val="15"/>
        </w:rPr>
        <w:t xml:space="preserve">, трубопроводы с задвижками для изменения подачи и напора насоса, измерительные участки, термометры, манометры и </w:t>
      </w:r>
      <w:proofErr w:type="spellStart"/>
      <w:r>
        <w:rPr>
          <w:color w:val="2D2D2D"/>
          <w:sz w:val="15"/>
          <w:szCs w:val="15"/>
        </w:rPr>
        <w:t>мановакуумметры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электробалансирную</w:t>
      </w:r>
      <w:proofErr w:type="spellEnd"/>
      <w:r>
        <w:rPr>
          <w:color w:val="2D2D2D"/>
          <w:sz w:val="15"/>
          <w:szCs w:val="15"/>
        </w:rPr>
        <w:t xml:space="preserve"> машину.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5.6.2 Агрегаты и средства управления стендами должны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работу насоса при частотах вращения на 20% превышающих номинальную;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повышение температуры воды при соответствующем давлении в баке до 105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автоматическое поддержание температуры жидкости, циркулирующей в стенде с точностью ±2 °С.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5.6.3 Материалы, применяемые для изготовления деталей и узлов стендов, должны исключать образование коррозии и загрязнение жидкости.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5.6.4 Насос устанавливают и присоединяют в соответствии с его компоновкой на двигателе.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5.6.5 Площадь и форма присоединяемых к насосу подводящих и отводящих трубопроводов должны соответствовать входным и выходным патрубкам насоса. На этих трубопроводах для размещения отборников давления предусматривают прямые участки длиной не менее 10 эквивалентных диаметров патрубков.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5.6.6 Отбор давления производят через отверстия диаметром от 2 до 3 мм в стенках трубопроводов, при этом края отверстий не должны иметь заусенцев, а отборник не должен выступать за пределы внутренней стенки трубопровода.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5.6.7 Отборники давления размещают на расстоянии не менее трех диаметров от места присоединения к патрубкам насоса. Если по условиям установки насоса на двигателе и, соответственно, на стенде невозможно применение прямых участков, то допускается размещение отборников давления непосредственно в присоединительных деталях насоса.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отбор давления производится перед или после поворотов потока, то его осуществляют через четыре отверстия, расположенные во взаимно-перпендикулярных плоскостях, соединенных кольцевой трубкой, диаметр которой должен быть не менее пяти диаметров этих отверстий.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5.6.9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обеспечения </w:t>
      </w:r>
      <w:proofErr w:type="spellStart"/>
      <w:r>
        <w:rPr>
          <w:color w:val="2D2D2D"/>
          <w:sz w:val="15"/>
          <w:szCs w:val="15"/>
        </w:rPr>
        <w:t>проливки</w:t>
      </w:r>
      <w:proofErr w:type="spellEnd"/>
      <w:r>
        <w:rPr>
          <w:color w:val="2D2D2D"/>
          <w:sz w:val="15"/>
          <w:szCs w:val="15"/>
        </w:rPr>
        <w:t xml:space="preserve"> (удаления воздуха) из трубопроводов, соединяющих отборники давления с измерительными приборами, необходимо высоту расположения манометров и разделительных емкостей вакуумметров выбирать ниже уровня жидкости в баке не менее чем на 150 мм. Высота расположения </w:t>
      </w:r>
      <w:r>
        <w:rPr>
          <w:color w:val="2D2D2D"/>
          <w:sz w:val="15"/>
          <w:szCs w:val="15"/>
        </w:rPr>
        <w:lastRenderedPageBreak/>
        <w:t xml:space="preserve">приборов принимается по оси </w:t>
      </w:r>
      <w:proofErr w:type="spellStart"/>
      <w:r>
        <w:rPr>
          <w:color w:val="2D2D2D"/>
          <w:sz w:val="15"/>
          <w:szCs w:val="15"/>
        </w:rPr>
        <w:t>проливочного</w:t>
      </w:r>
      <w:proofErr w:type="spellEnd"/>
      <w:r>
        <w:rPr>
          <w:color w:val="2D2D2D"/>
          <w:sz w:val="15"/>
          <w:szCs w:val="15"/>
        </w:rPr>
        <w:t xml:space="preserve"> крана.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5.6.10 Непосредственно перед прибором для измерения вакуума устанавливают разделительную емкость, имеющую на входе в нее </w:t>
      </w:r>
      <w:proofErr w:type="spellStart"/>
      <w:r>
        <w:rPr>
          <w:color w:val="2D2D2D"/>
          <w:sz w:val="15"/>
          <w:szCs w:val="15"/>
        </w:rPr>
        <w:t>проливочный</w:t>
      </w:r>
      <w:proofErr w:type="spellEnd"/>
      <w:r>
        <w:rPr>
          <w:color w:val="2D2D2D"/>
          <w:sz w:val="15"/>
          <w:szCs w:val="15"/>
        </w:rPr>
        <w:t xml:space="preserve"> кран.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5.6.11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целью стабилизации показаний приборов для измерения давлений перед ними целесообразно устанавливать компенсаторные емкости.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5.6.12 Температуру воды измеряют в подводящем трубопроводе на расстоянии не более 10 диаметров трубопровода от места присоединения к насосу.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5.6.13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проведении испытаний должна быть обеспечена точность измерений: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частоты вращения вала насоса - ±0,2%;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подачи насоса - ±1,5%;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крутящего момента на валу насоса - ±1%;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давления (разрежения) - ±0,6%;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температуры жидкости - ±0,5 °С.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5.7 Подготовка и условия проведения испытаний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монтажа насоса и заливки жидкости из полостей циркуляционного контура стенда должен быть удален воздух.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5.7.2 Удаление воздуха из соединительных трубопроводов приборов для измерения давления должно осуществляться </w:t>
      </w:r>
      <w:proofErr w:type="gramStart"/>
      <w:r>
        <w:rPr>
          <w:color w:val="2D2D2D"/>
          <w:sz w:val="15"/>
          <w:szCs w:val="15"/>
        </w:rPr>
        <w:t>тщательной</w:t>
      </w:r>
      <w:proofErr w:type="gramEnd"/>
      <w:r>
        <w:rPr>
          <w:color w:val="2D2D2D"/>
          <w:sz w:val="15"/>
          <w:szCs w:val="15"/>
        </w:rPr>
        <w:t xml:space="preserve"> их </w:t>
      </w:r>
      <w:proofErr w:type="spellStart"/>
      <w:r>
        <w:rPr>
          <w:color w:val="2D2D2D"/>
          <w:sz w:val="15"/>
          <w:szCs w:val="15"/>
        </w:rPr>
        <w:t>проливкой</w:t>
      </w:r>
      <w:proofErr w:type="spellEnd"/>
      <w:r>
        <w:rPr>
          <w:color w:val="2D2D2D"/>
          <w:sz w:val="15"/>
          <w:szCs w:val="15"/>
        </w:rPr>
        <w:t xml:space="preserve"> при неработающем насосе перед началом испытаний.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5.7.3 Температуру воды во время испытаний устанавливают: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при определении скоростных, </w:t>
      </w:r>
      <w:proofErr w:type="spellStart"/>
      <w:r>
        <w:rPr>
          <w:color w:val="2D2D2D"/>
          <w:sz w:val="15"/>
          <w:szCs w:val="15"/>
        </w:rPr>
        <w:t>кавитационных</w:t>
      </w:r>
      <w:proofErr w:type="spellEnd"/>
      <w:r>
        <w:rPr>
          <w:color w:val="2D2D2D"/>
          <w:sz w:val="15"/>
          <w:szCs w:val="15"/>
        </w:rPr>
        <w:t>, напорных и энергетических характеристик - не более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(при контроле величины падения подачи и напора - в интервале от 20 °С до 95 °С);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ресурсных испытаниях - в соответствии с программой (методикой), согласованной с потребителем.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5.8 Проведение испытаний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определении характеристик насоса регистрируют параметры: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подачу;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давление (разряжение) жидкости на входе в насос;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давление жидкости на выходе из 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барометрическое давление;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крутящий момент на валу 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частоту вращения крыльчатки 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температуру жидкости.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 Напорная характеристика определяется при максимальной частоте вращения в диапазоне подач от нулевого значения до значения, превышающего на 15% номинальную подачу. Определение напорной характеристики должно производиться не менее двух раз и строиться по осредненным величинам. Число точек, равномерно расположенных в измеряемом диапазоне подач, подлежащих определению, должно быть не менее 15. Изменение подачи насоса осуществляют задвижкой, расположенной в напорном трубопроводе стенда.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5.8.3 Скоростную характеристику определяют при открытой системе в диапазоне частот вращения насоса, начиная от частоты, соответствующей холостому ходу двигателя, до превышающей номинальную в 1,1 раза.</w:t>
      </w:r>
      <w:proofErr w:type="gramEnd"/>
      <w:r>
        <w:rPr>
          <w:color w:val="2D2D2D"/>
          <w:sz w:val="15"/>
          <w:szCs w:val="15"/>
        </w:rPr>
        <w:t xml:space="preserve"> При этом разрежение на входе в насос должно соответствовать его действительному значению в системе охлаждения.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5.8.4 Частные </w:t>
      </w:r>
      <w:proofErr w:type="spellStart"/>
      <w:r>
        <w:rPr>
          <w:color w:val="2D2D2D"/>
          <w:sz w:val="15"/>
          <w:szCs w:val="15"/>
        </w:rPr>
        <w:t>кавитационные</w:t>
      </w:r>
      <w:proofErr w:type="spellEnd"/>
      <w:r>
        <w:rPr>
          <w:color w:val="2D2D2D"/>
          <w:sz w:val="15"/>
          <w:szCs w:val="15"/>
        </w:rPr>
        <w:t xml:space="preserve"> характеристики должны быть сняты для пяти значений подач, равномерно распределенных в диапазоне от 75% до 115% от номинальной подачи. Каждая частная </w:t>
      </w:r>
      <w:proofErr w:type="spellStart"/>
      <w:r>
        <w:rPr>
          <w:color w:val="2D2D2D"/>
          <w:sz w:val="15"/>
          <w:szCs w:val="15"/>
        </w:rPr>
        <w:t>кавитационная</w:t>
      </w:r>
      <w:proofErr w:type="spellEnd"/>
      <w:r>
        <w:rPr>
          <w:color w:val="2D2D2D"/>
          <w:sz w:val="15"/>
          <w:szCs w:val="15"/>
        </w:rPr>
        <w:t xml:space="preserve"> характеристика должна определяться не менее двух раз и строиться по осредненным величинам.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5.8.5 Определение частной </w:t>
      </w:r>
      <w:proofErr w:type="spellStart"/>
      <w:r>
        <w:rPr>
          <w:color w:val="2D2D2D"/>
          <w:sz w:val="15"/>
          <w:szCs w:val="15"/>
        </w:rPr>
        <w:t>кавитационной</w:t>
      </w:r>
      <w:proofErr w:type="spellEnd"/>
      <w:r>
        <w:rPr>
          <w:color w:val="2D2D2D"/>
          <w:sz w:val="15"/>
          <w:szCs w:val="15"/>
        </w:rPr>
        <w:t xml:space="preserve"> характеристики необходимо начинать с величины избыточного давления в баке, полностью исключающего кавитацию, и заканчивать при разрежении, обеспечивающем срыв работы насоса. Общее число экспериментальных точек при снятии каждой характеристики должно быть не менее 15, причем в области от начала кавитации до полного срыва не менее восьми.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5.8.6</w:t>
      </w:r>
      <w:proofErr w:type="gramStart"/>
      <w:r>
        <w:rPr>
          <w:color w:val="2D2D2D"/>
          <w:sz w:val="15"/>
          <w:szCs w:val="15"/>
        </w:rPr>
        <w:t xml:space="preserve"> Р</w:t>
      </w:r>
      <w:proofErr w:type="gramEnd"/>
      <w:r>
        <w:rPr>
          <w:color w:val="2D2D2D"/>
          <w:sz w:val="15"/>
          <w:szCs w:val="15"/>
        </w:rPr>
        <w:t xml:space="preserve">екомендуется следующий порядок действий при определении частной </w:t>
      </w:r>
      <w:proofErr w:type="spellStart"/>
      <w:r>
        <w:rPr>
          <w:color w:val="2D2D2D"/>
          <w:sz w:val="15"/>
          <w:szCs w:val="15"/>
        </w:rPr>
        <w:t>кавитационной</w:t>
      </w:r>
      <w:proofErr w:type="spellEnd"/>
      <w:r>
        <w:rPr>
          <w:color w:val="2D2D2D"/>
          <w:sz w:val="15"/>
          <w:szCs w:val="15"/>
        </w:rPr>
        <w:t xml:space="preserve"> характеристики на стенде: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 помощью задвижки, расположенной на напорном трубопроводе, устанавливают выбранную величину подачи 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 помощью регулирующего клапана ступенчато понижают избыточное давление в баке (вакуум в баке обеспечивают с помощью вакуум-насоса); при этом задвижкой, расположенной на напорном трубопроводе, поддерживают постоянство подачи.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замене </w:t>
      </w:r>
      <w:proofErr w:type="spellStart"/>
      <w:r>
        <w:rPr>
          <w:color w:val="2D2D2D"/>
          <w:sz w:val="15"/>
          <w:szCs w:val="15"/>
        </w:rPr>
        <w:t>кавитационной</w:t>
      </w:r>
      <w:proofErr w:type="spellEnd"/>
      <w:r>
        <w:rPr>
          <w:color w:val="2D2D2D"/>
          <w:sz w:val="15"/>
          <w:szCs w:val="15"/>
        </w:rPr>
        <w:t xml:space="preserve"> характеристики контролем величины падения подачи и напора насоса в зависимости от температуры жидкости порядок действия должен быть следующим: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 помощью задвижки, расположенной на напорном трубопроводе, устанавливают номинальные подачу и напор насоса (при этом задвижкой на входном трубопроводе следует добиться, чтобы разрежение на входе в насос соответствовало его действительному значению в системе охлаждения);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включают нагреватели в баке стенда, и температура постепенно повышается до 95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со скоростью не более 5 °С в минуту. Через каждые 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измеряют подачу и напор насоса. Допустимые величины падения подачи и напора должны быть указаны в КД.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5.9 Обработка результатов стендовых испытаний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5.9.1 Напор насоса </w:t>
      </w:r>
      <w:r>
        <w:rPr>
          <w:color w:val="2D2D2D"/>
          <w:sz w:val="15"/>
          <w:szCs w:val="15"/>
        </w:rPr>
        <w:pict>
          <v:shape id="_x0000_i1029" type="#_x0000_t75" alt="ГОСТ Р 53839-2010 Двигатели автомобильные. Насосы жидкостные систем охлаждения. Технические требования и методы испытаний" style="width:14.5pt;height:12.9pt"/>
        </w:pict>
      </w:r>
      <w:r>
        <w:rPr>
          <w:color w:val="2D2D2D"/>
          <w:sz w:val="15"/>
          <w:szCs w:val="15"/>
        </w:rPr>
        <w:t>, Па, имеющего по одному входному и одному выходному патрубку, вычисляют по формуле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30680" cy="484505"/>
            <wp:effectExtent l="19050" t="0" r="7620" b="0"/>
            <wp:docPr id="6" name="Рисунок 6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31" type="#_x0000_t75" alt="ГОСТ Р 53839-2010 Двигатели автомобильные. Насосы жидкостные систем охлаждения.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32" type="#_x0000_t75" alt="ГОСТ Р 53839-2010 Двигатели автомобильные. Насосы жидкостные систем охлаждения. Технические требования и методы испытаний" style="width:14.5pt;height:17.2pt"/>
        </w:pict>
      </w:r>
      <w:r>
        <w:rPr>
          <w:color w:val="2D2D2D"/>
          <w:sz w:val="15"/>
          <w:szCs w:val="15"/>
        </w:rPr>
        <w:t> - статические составляющие полного давления во входном и выходном патрубках, 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40995" cy="484505"/>
            <wp:effectExtent l="19050" t="0" r="1905" b="0"/>
            <wp:docPr id="9" name="Рисунок 9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40995" cy="484505"/>
            <wp:effectExtent l="19050" t="0" r="1905" b="0"/>
            <wp:docPr id="10" name="Рисунок 10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динамические составляющие полного давления во входном и выходном патрубках, 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5" type="#_x0000_t75" alt="ГОСТ Р 53839-2010 Двигатели автомобильные. Насосы жидкостные систем охлаждения. Технические требования и методы испытаний" style="width:9.65pt;height:12.9pt"/>
        </w:pict>
      </w:r>
      <w:r>
        <w:rPr>
          <w:color w:val="2D2D2D"/>
          <w:sz w:val="15"/>
          <w:szCs w:val="15"/>
        </w:rPr>
        <w:t> - плотность жидкости, кг/м</w:t>
      </w:r>
      <w:r>
        <w:rPr>
          <w:color w:val="2D2D2D"/>
          <w:sz w:val="15"/>
          <w:szCs w:val="15"/>
        </w:rPr>
        <w:pict>
          <v:shape id="_x0000_i1036" type="#_x0000_t75" alt="ГОСТ Р 53839-2010 Двигатели автомобильные. Насосы жидкостные систем охлаждения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7" type="#_x0000_t75" alt="ГОСТ Р 53839-2010 Двигатели автомобильные. Насосы жидкостные систем охлаждения. Технические требования и методы испытаний" style="width:12.35pt;height:14.5pt"/>
        </w:pict>
      </w:r>
      <w:r>
        <w:rPr>
          <w:color w:val="2D2D2D"/>
          <w:sz w:val="15"/>
          <w:szCs w:val="15"/>
        </w:rPr>
        <w:t> - подача насоса, м</w:t>
      </w:r>
      <w:r>
        <w:rPr>
          <w:color w:val="2D2D2D"/>
          <w:sz w:val="15"/>
          <w:szCs w:val="15"/>
        </w:rPr>
        <w:pict>
          <v:shape id="_x0000_i1038" type="#_x0000_t75" alt="ГОСТ Р 53839-2010 Двигатели автомобильные. Насосы жидкостные систем охлаждения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9" type="#_x0000_t75" alt="ГОСТ Р 53839-2010 Двигатели автомобильные. Насосы жидкостные систем охлаждения.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40" type="#_x0000_t75" alt="ГОСТ Р 53839-2010 Двигатели автомобильные. Насосы жидкостные систем охлаждения. Технические требования и методы испытаний" style="width:15.05pt;height:17.2pt"/>
        </w:pict>
      </w:r>
      <w:r>
        <w:rPr>
          <w:color w:val="2D2D2D"/>
          <w:sz w:val="15"/>
          <w:szCs w:val="15"/>
        </w:rPr>
        <w:t> - площади проходного сечения входного и выходного патрубков, м</w:t>
      </w:r>
      <w:r>
        <w:rPr>
          <w:color w:val="2D2D2D"/>
          <w:sz w:val="15"/>
          <w:szCs w:val="15"/>
        </w:rPr>
        <w:pict>
          <v:shape id="_x0000_i1041" type="#_x0000_t75" alt="ГОСТ Р 53839-2010 Двигатели автомобильные. Насосы жидкостные систем охлаждения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насосов, имеющих большее число патрубков, принимают среднеарифметические значения соответствующих показателей.</w:t>
      </w:r>
      <w:r>
        <w:rPr>
          <w:color w:val="2D2D2D"/>
          <w:sz w:val="15"/>
          <w:szCs w:val="15"/>
        </w:rPr>
        <w:br/>
      </w:r>
      <w:proofErr w:type="gramEnd"/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5.9.2 Подачу насоса определяют по </w:t>
      </w:r>
      <w:proofErr w:type="spellStart"/>
      <w:r>
        <w:rPr>
          <w:color w:val="2D2D2D"/>
          <w:sz w:val="15"/>
          <w:szCs w:val="15"/>
        </w:rPr>
        <w:t>тарировочным</w:t>
      </w:r>
      <w:proofErr w:type="spellEnd"/>
      <w:r>
        <w:rPr>
          <w:color w:val="2D2D2D"/>
          <w:sz w:val="15"/>
          <w:szCs w:val="15"/>
        </w:rPr>
        <w:t xml:space="preserve"> графикам для датчиков расхода.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5.9.3 Мощность </w:t>
      </w:r>
      <w:r>
        <w:rPr>
          <w:color w:val="2D2D2D"/>
          <w:sz w:val="15"/>
          <w:szCs w:val="15"/>
        </w:rPr>
        <w:pict>
          <v:shape id="_x0000_i1042" type="#_x0000_t75" alt="ГОСТ Р 53839-2010 Двигатели автомобильные. Насосы жидкостные систем охлаждения. Технические требования и методы испытаний" style="width:17.75pt;height:17.75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, затрачиваемая на механический привод насоса с учетом потерь на трение в узле уплотнения, в узле подшипников и в приводе насоса, вычисляют по формуле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25500" cy="238760"/>
            <wp:effectExtent l="19050" t="0" r="0" b="0"/>
            <wp:docPr id="19" name="Рисунок 19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23265" cy="238760"/>
            <wp:effectExtent l="19050" t="0" r="635" b="0"/>
            <wp:docPr id="20" name="Рисунок 20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крутящий момент на приводе насоса, Н·м;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5" type="#_x0000_t75" alt="ГОСТ Р 53839-2010 Двигатели автомобильные. Насосы жидкостные систем охлаждения. Технические требования и методы испытаний" style="width:9.65pt;height:11.3pt"/>
        </w:pict>
      </w:r>
      <w:r>
        <w:rPr>
          <w:color w:val="2D2D2D"/>
          <w:sz w:val="15"/>
          <w:szCs w:val="15"/>
        </w:rPr>
        <w:t> - частота вращения вала насоса, с</w:t>
      </w:r>
      <w:r>
        <w:rPr>
          <w:color w:val="2D2D2D"/>
          <w:sz w:val="15"/>
          <w:szCs w:val="15"/>
        </w:rPr>
        <w:pict>
          <v:shape id="_x0000_i1046" type="#_x0000_t75" alt="ГОСТ Р 53839-2010 Двигатели автомобильные. Насосы жидкостные систем охлаждения.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7" type="#_x0000_t75" alt="ГОСТ Р 53839-2010 Двигатели автомобильные. Насосы жидкостные систем охлаждения. Технические требования и методы испытаний" style="width:12.9pt;height:12.9pt"/>
        </w:pict>
      </w:r>
      <w:r>
        <w:rPr>
          <w:color w:val="2D2D2D"/>
          <w:sz w:val="15"/>
          <w:szCs w:val="15"/>
        </w:rPr>
        <w:t> - сила, Н, действующая на плече </w:t>
      </w:r>
      <w:r>
        <w:rPr>
          <w:color w:val="2D2D2D"/>
          <w:sz w:val="15"/>
          <w:szCs w:val="15"/>
        </w:rPr>
        <w:pict>
          <v:shape id="_x0000_i1048" type="#_x0000_t75" alt="ГОСТ Р 53839-2010 Двигатели автомобильные. Насосы жидкостные систем охлаждения. Технические требования и методы испытаний" style="width:6.45pt;height:14.5pt"/>
        </w:pict>
      </w:r>
      <w:r>
        <w:rPr>
          <w:color w:val="2D2D2D"/>
          <w:sz w:val="15"/>
          <w:szCs w:val="15"/>
        </w:rPr>
        <w:t>, м, рычага тормозного устройства.</w:t>
      </w:r>
      <w:r>
        <w:rPr>
          <w:color w:val="2D2D2D"/>
          <w:sz w:val="15"/>
          <w:szCs w:val="15"/>
        </w:rPr>
        <w:br/>
      </w:r>
      <w:proofErr w:type="gramEnd"/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5.9.4 Мощность </w:t>
      </w:r>
      <w:r>
        <w:rPr>
          <w:color w:val="2D2D2D"/>
          <w:sz w:val="15"/>
          <w:szCs w:val="15"/>
        </w:rPr>
        <w:pict>
          <v:shape id="_x0000_i1049" type="#_x0000_t75" alt="ГОСТ Р 53839-2010 Двигатели автомобильные. Насосы жидкостные систем охлаждения. Технические требования и методы испытаний" style="width:17.75pt;height:17.75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, затрачиваемая на привод насоса с электродвигателем с учетом всех видов потерь, вычисляют по формуле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655320" cy="225425"/>
            <wp:effectExtent l="19050" t="0" r="0" b="0"/>
            <wp:docPr id="26" name="Рисунок 26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51" type="#_x0000_t75" alt="ГОСТ Р 53839-2010 Двигатели автомобильные. Насосы жидкостные систем охлаждения. Технические требования и методы испытаний" style="width:9.65pt;height:12.9pt"/>
        </w:pict>
      </w:r>
      <w:r>
        <w:rPr>
          <w:color w:val="2D2D2D"/>
          <w:sz w:val="15"/>
          <w:szCs w:val="15"/>
        </w:rPr>
        <w:t> - сила тока, А;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2" type="#_x0000_t75" alt="ГОСТ Р 53839-2010 Двигатели автомобильные. Насосы жидкостные систем охлаждения. Технические требования и методы испытаний" style="width:12.9pt;height:14.5pt"/>
        </w:pict>
      </w:r>
      <w:r>
        <w:rPr>
          <w:color w:val="2D2D2D"/>
          <w:sz w:val="15"/>
          <w:szCs w:val="15"/>
        </w:rPr>
        <w:t> - напряжение на клеммах электродвигателя, В.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5.9.5 Мощность </w:t>
      </w:r>
      <w:r>
        <w:rPr>
          <w:color w:val="2D2D2D"/>
          <w:sz w:val="15"/>
          <w:szCs w:val="15"/>
        </w:rPr>
        <w:pict>
          <v:shape id="_x0000_i1053" type="#_x0000_t75" alt="ГОСТ Р 53839-2010 Двигатели автомобильные. Насосы жидкостные систем охлаждения. Технические требования и методы испытаний" style="width:20.4pt;height:17.2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, (гидравлическую полезную), затрачиваемую на перемещение жидкости, вычисляют по формуле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218440"/>
            <wp:effectExtent l="19050" t="0" r="0" b="0"/>
            <wp:docPr id="30" name="Рисунок 30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(4)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5.9.6 Коэффициент полезного действия насоса </w:t>
      </w:r>
      <w:r>
        <w:rPr>
          <w:color w:val="2D2D2D"/>
          <w:sz w:val="15"/>
          <w:szCs w:val="15"/>
        </w:rPr>
        <w:pict>
          <v:shape id="_x0000_i1055" type="#_x0000_t75" alt="ГОСТ Р 53839-2010 Двигатели автомобильные. Насосы жидкостные систем охлаждения. Технические требования и методы испытаний" style="width:9.65pt;height:12.9pt"/>
        </w:pict>
      </w:r>
      <w:r>
        <w:rPr>
          <w:color w:val="2D2D2D"/>
          <w:sz w:val="15"/>
          <w:szCs w:val="15"/>
        </w:rPr>
        <w:t> вычисляют по формуле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32130" cy="429895"/>
            <wp:effectExtent l="19050" t="0" r="1270" b="0"/>
            <wp:docPr id="32" name="Рисунок 32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(5)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5.9.7 </w:t>
      </w:r>
      <w:proofErr w:type="spellStart"/>
      <w:r>
        <w:rPr>
          <w:color w:val="2D2D2D"/>
          <w:sz w:val="15"/>
          <w:szCs w:val="15"/>
        </w:rPr>
        <w:t>Кавитационный</w:t>
      </w:r>
      <w:proofErr w:type="spellEnd"/>
      <w:r>
        <w:rPr>
          <w:color w:val="2D2D2D"/>
          <w:sz w:val="15"/>
          <w:szCs w:val="15"/>
        </w:rPr>
        <w:t xml:space="preserve"> запас насоса </w:t>
      </w:r>
      <w:r>
        <w:rPr>
          <w:color w:val="2D2D2D"/>
          <w:sz w:val="15"/>
          <w:szCs w:val="15"/>
        </w:rPr>
        <w:pict>
          <v:shape id="_x0000_i1057" type="#_x0000_t75" alt="ГОСТ Р 53839-2010 Двигатели автомобильные. Насосы жидкостные систем охлаждения. Технические требования и методы испытаний" style="width:17.2pt;height:14.5pt"/>
        </w:pict>
      </w:r>
      <w:r>
        <w:rPr>
          <w:color w:val="2D2D2D"/>
          <w:sz w:val="15"/>
          <w:szCs w:val="15"/>
        </w:rPr>
        <w:t> вычисляют по формуле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01495" cy="504825"/>
            <wp:effectExtent l="19050" t="0" r="8255" b="0"/>
            <wp:docPr id="34" name="Рисунок 34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(6)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59" type="#_x0000_t75" alt="ГОСТ Р 53839-2010 Двигатели автомобильные. Насосы жидкостные систем охлаждения. Технические требования и методы испытаний" style="width:14.5pt;height:17.2pt"/>
        </w:pict>
      </w:r>
      <w:r>
        <w:rPr>
          <w:color w:val="2D2D2D"/>
          <w:sz w:val="15"/>
          <w:szCs w:val="15"/>
        </w:rPr>
        <w:t> - статическое давление на входе в насос (со знаком "+", если </w:t>
      </w:r>
      <w:r>
        <w:rPr>
          <w:color w:val="2D2D2D"/>
          <w:sz w:val="15"/>
          <w:szCs w:val="15"/>
        </w:rPr>
        <w:pict>
          <v:shape id="_x0000_i1060" type="#_x0000_t75" alt="ГОСТ Р 53839-2010 Двигатели автомобильные. Насосы жидкостные систем охлаждения. Технические требования и методы испытаний" style="width:24.2pt;height:17.2pt"/>
        </w:pict>
      </w:r>
      <w:r>
        <w:rPr>
          <w:color w:val="2D2D2D"/>
          <w:sz w:val="15"/>
          <w:szCs w:val="15"/>
        </w:rPr>
        <w:t>0; со знаком "</w:t>
      </w:r>
      <w:proofErr w:type="gramStart"/>
      <w:r>
        <w:rPr>
          <w:color w:val="2D2D2D"/>
          <w:sz w:val="15"/>
          <w:szCs w:val="15"/>
        </w:rPr>
        <w:t>-"</w:t>
      </w:r>
      <w:proofErr w:type="gramEnd"/>
      <w:r>
        <w:rPr>
          <w:color w:val="2D2D2D"/>
          <w:sz w:val="15"/>
          <w:szCs w:val="15"/>
        </w:rPr>
        <w:t>, если </w:t>
      </w:r>
      <w:r>
        <w:rPr>
          <w:color w:val="2D2D2D"/>
          <w:sz w:val="15"/>
          <w:szCs w:val="15"/>
        </w:rPr>
        <w:pict>
          <v:shape id="_x0000_i1061" type="#_x0000_t75" alt="ГОСТ Р 53839-2010 Двигатели автомобильные. Насосы жидкостные систем охлаждения. Технические требования и методы испытаний" style="width:20.95pt;height:12.9pt"/>
        </w:pict>
      </w:r>
      <w:r>
        <w:rPr>
          <w:color w:val="2D2D2D"/>
          <w:sz w:val="15"/>
          <w:szCs w:val="15"/>
        </w:rPr>
        <w:t>0), 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2" type="#_x0000_t75" alt="ГОСТ Р 53839-2010 Двигатели автомобильные. Насосы жидкостные систем охлаждения. Технические требования и методы испытаний" style="width:15.05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63" type="#_x0000_t75" alt="ГОСТ Р 53839-2010 Двигатели автомобильные. Насосы жидкостные систем охлаждения. Технические требования и методы испытаний" style="width:26.85pt;height:20.4pt"/>
        </w:pict>
      </w:r>
      <w:r>
        <w:rPr>
          <w:color w:val="2D2D2D"/>
          <w:sz w:val="15"/>
          <w:szCs w:val="15"/>
        </w:rPr>
        <w:t> - соответственно барометрическое давление и давление насыщенных паров жидкости, Па.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5.9.8 Допустимый </w:t>
      </w:r>
      <w:proofErr w:type="spellStart"/>
      <w:r>
        <w:rPr>
          <w:color w:val="2D2D2D"/>
          <w:sz w:val="15"/>
          <w:szCs w:val="15"/>
        </w:rPr>
        <w:t>кавитационный</w:t>
      </w:r>
      <w:proofErr w:type="spellEnd"/>
      <w:r>
        <w:rPr>
          <w:color w:val="2D2D2D"/>
          <w:sz w:val="15"/>
          <w:szCs w:val="15"/>
        </w:rPr>
        <w:t xml:space="preserve"> запас насоса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38760"/>
            <wp:effectExtent l="19050" t="0" r="0" b="0"/>
            <wp:docPr id="40" name="Рисунок 40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вычисляют по формуле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238760"/>
            <wp:effectExtent l="19050" t="0" r="0" b="0"/>
            <wp:docPr id="41" name="Рисунок 41" descr="ГОСТ Р 53839-2010 Двигатели автомобильные. Насосы жидкостные систем охлаждения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Р 53839-2010 Двигатели автомобильные. Насосы жидкостные систем охлаждения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(7)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6" type="#_x0000_t75" alt="ГОСТ Р 53839-2010 Двигатели автомобильные. Насосы жидкостные систем охлаждения. Технические требования и методы испытаний" style="width:27.4pt;height:17.2pt"/>
        </w:pict>
      </w:r>
      <w:r>
        <w:rPr>
          <w:color w:val="2D2D2D"/>
          <w:sz w:val="15"/>
          <w:szCs w:val="15"/>
        </w:rPr>
        <w:t xml:space="preserve"> - критический </w:t>
      </w:r>
      <w:proofErr w:type="spellStart"/>
      <w:r>
        <w:rPr>
          <w:color w:val="2D2D2D"/>
          <w:sz w:val="15"/>
          <w:szCs w:val="15"/>
        </w:rPr>
        <w:t>кавитационный</w:t>
      </w:r>
      <w:proofErr w:type="spellEnd"/>
      <w:r>
        <w:rPr>
          <w:color w:val="2D2D2D"/>
          <w:sz w:val="15"/>
          <w:szCs w:val="15"/>
        </w:rPr>
        <w:t xml:space="preserve"> запас;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7" type="#_x0000_t75" alt="ГОСТ Р 53839-2010 Двигатели автомобильные. Насосы жидкостные систем охлаждения. Технические требования и методы испытаний" style="width:14.5pt;height:17.75pt"/>
        </w:pict>
      </w:r>
      <w:r>
        <w:rPr>
          <w:color w:val="2D2D2D"/>
          <w:sz w:val="15"/>
          <w:szCs w:val="15"/>
        </w:rPr>
        <w:t> - коэффициент запаса, устанавливаемый КД на насос.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 Испытания на стойкость к внешнему вибрационному воздействию проводят на вибрационном стенде. Насос крепится на предусмотренные установочные места к подвижной платформе стенда. Общее число циклов, величины ускорений, амплитуд и частот определяют программой (методикой), согласованной с потребителем.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5.11 Испытания на стойкость к высокотемпературному воздействию проводят в </w:t>
      </w:r>
      <w:proofErr w:type="spellStart"/>
      <w:r>
        <w:rPr>
          <w:color w:val="2D2D2D"/>
          <w:sz w:val="15"/>
          <w:szCs w:val="15"/>
        </w:rPr>
        <w:t>термокамере</w:t>
      </w:r>
      <w:proofErr w:type="spellEnd"/>
      <w:r>
        <w:rPr>
          <w:color w:val="2D2D2D"/>
          <w:sz w:val="15"/>
          <w:szCs w:val="15"/>
        </w:rPr>
        <w:t xml:space="preserve"> при атмосферном давлении и температуре в камере, равной 130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в течение 24 ч.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5.12 Испытания на стойкость к низкотемпературному воздействию проводят в </w:t>
      </w:r>
      <w:proofErr w:type="spellStart"/>
      <w:r>
        <w:rPr>
          <w:color w:val="2D2D2D"/>
          <w:sz w:val="15"/>
          <w:szCs w:val="15"/>
        </w:rPr>
        <w:t>термокамере</w:t>
      </w:r>
      <w:proofErr w:type="spellEnd"/>
      <w:r>
        <w:rPr>
          <w:color w:val="2D2D2D"/>
          <w:sz w:val="15"/>
          <w:szCs w:val="15"/>
        </w:rPr>
        <w:t xml:space="preserve"> при температуре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24 ч.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 Испытаниям по 5.10, 5.11, 5.12 должны предшествовать, а затем завершать их испытания по определению герметичности и функциональных показателей. Разница функциональных показателей при завершающих и предшествующих испытаниях не должна превышать 3%. По соглашению с потребителем определение функциональных показателей после испытаний на надежность могут не проводить.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5.14 Испытания по определению ресурса по 3.9 проводят предприятия-изготовители автомобильных транспортных средств на основных моделях автомобилей или их модификациях по программе длительных контрольных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Гарантии изготовителя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Предприятие-изготовитель гарантирует качество насосов при соблюдении правил эксплуатации.</w:t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6.2 Гарантийные срок службы и наработка насоса должны соответствовать </w:t>
      </w:r>
      <w:proofErr w:type="gramStart"/>
      <w:r>
        <w:rPr>
          <w:color w:val="2D2D2D"/>
          <w:sz w:val="15"/>
          <w:szCs w:val="15"/>
        </w:rPr>
        <w:t>аналогичным</w:t>
      </w:r>
      <w:proofErr w:type="gramEnd"/>
      <w:r>
        <w:rPr>
          <w:color w:val="2D2D2D"/>
          <w:sz w:val="15"/>
          <w:szCs w:val="15"/>
        </w:rPr>
        <w:t xml:space="preserve"> двигателя, для которого он предназначен.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E472F" w:rsidRDefault="00DE472F" w:rsidP="00DE47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А.1 - Протокол испытаний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2482"/>
        <w:gridCol w:w="165"/>
        <w:gridCol w:w="168"/>
        <w:gridCol w:w="168"/>
        <w:gridCol w:w="334"/>
        <w:gridCol w:w="499"/>
        <w:gridCol w:w="338"/>
        <w:gridCol w:w="171"/>
        <w:gridCol w:w="528"/>
        <w:gridCol w:w="864"/>
        <w:gridCol w:w="175"/>
        <w:gridCol w:w="342"/>
        <w:gridCol w:w="185"/>
        <w:gridCol w:w="174"/>
        <w:gridCol w:w="674"/>
        <w:gridCol w:w="2858"/>
        <w:gridCol w:w="182"/>
      </w:tblGrid>
      <w:tr w:rsidR="00DE472F" w:rsidTr="00DE472F">
        <w:trPr>
          <w:trHeight w:val="15"/>
        </w:trPr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 ___ от __________ 20 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Испытываемое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чертежное обозначение,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идентификационный номер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испытываемого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испытываемых образцов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</w:tbl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869"/>
        <w:gridCol w:w="843"/>
        <w:gridCol w:w="1168"/>
        <w:gridCol w:w="176"/>
        <w:gridCol w:w="166"/>
        <w:gridCol w:w="653"/>
        <w:gridCol w:w="1901"/>
        <w:gridCol w:w="335"/>
        <w:gridCol w:w="354"/>
        <w:gridCol w:w="172"/>
        <w:gridCol w:w="666"/>
        <w:gridCol w:w="2823"/>
        <w:gridCol w:w="181"/>
      </w:tblGrid>
      <w:tr w:rsidR="00DE472F" w:rsidTr="00DE472F">
        <w:trPr>
          <w:trHeight w:val="15"/>
        </w:trPr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 ___ от __________ 20 __ г.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Результаты испытаний: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Испытываемый параметр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Установленные требования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</w:tbl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А.2 - Акт о результатах периодических испытаний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1709"/>
        <w:gridCol w:w="1166"/>
        <w:gridCol w:w="175"/>
        <w:gridCol w:w="171"/>
        <w:gridCol w:w="1312"/>
        <w:gridCol w:w="1369"/>
        <w:gridCol w:w="175"/>
        <w:gridCol w:w="173"/>
        <w:gridCol w:w="185"/>
        <w:gridCol w:w="172"/>
        <w:gridCol w:w="671"/>
        <w:gridCol w:w="172"/>
        <w:gridCol w:w="2676"/>
        <w:gridCol w:w="181"/>
      </w:tblGrid>
      <w:tr w:rsidR="00DE472F" w:rsidTr="00DE472F">
        <w:trPr>
          <w:trHeight w:val="15"/>
        </w:trPr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 ____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о результатах периодических испытаний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N ___ от __________ 20 __ г.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Испытываемое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чертежное обозначение,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идентификационный номер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испытываемого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отрицательном результате перечисляют выявленные дефекты или приводят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ссылки на перечень дефектов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выдержали или не выдержали изделия периодические испытания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Акт составлен на основании протокола периодических испытаний N ___ от "__" __________ 20__г.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Данные результаты периодических испытаний распространяются на продукцию, выпускаемую </w:t>
            </w:r>
            <w:proofErr w:type="gramStart"/>
            <w:r>
              <w:rPr>
                <w:color w:val="2D2D2D"/>
                <w:sz w:val="15"/>
                <w:szCs w:val="15"/>
              </w:rPr>
              <w:t>до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месяц, год</w:t>
            </w:r>
          </w:p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</w:tbl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А.3 - Акт о результатах типовых испытаний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1543"/>
        <w:gridCol w:w="1334"/>
        <w:gridCol w:w="524"/>
        <w:gridCol w:w="503"/>
        <w:gridCol w:w="324"/>
        <w:gridCol w:w="1530"/>
        <w:gridCol w:w="171"/>
        <w:gridCol w:w="185"/>
        <w:gridCol w:w="353"/>
        <w:gridCol w:w="172"/>
        <w:gridCol w:w="500"/>
        <w:gridCol w:w="171"/>
        <w:gridCol w:w="1484"/>
        <w:gridCol w:w="1334"/>
        <w:gridCol w:w="181"/>
      </w:tblGrid>
      <w:tr w:rsidR="00DE472F" w:rsidTr="00DE472F">
        <w:trPr>
          <w:trHeight w:val="15"/>
        </w:trPr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E472F" w:rsidRDefault="00DE472F">
            <w:pPr>
              <w:rPr>
                <w:sz w:val="2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 ____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о результатах типовых испытаний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N ___ от __________ 20 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Испытываемое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чертежное обозначение,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 изготовленное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идентификационный номер изделия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 и год изготовления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Цель испытаний: оценка эффективности и целесообразности предлагаемых изменений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(положительный или отрицательный результат в целом;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отрицательных результатов их перечисляют)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соответствует (не соответствует) образец изделий требованиям программы испытаний;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подтверждена (не подтверждена) целесообразность внесения предлагаемых изменений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конструкцию, в технологический процесс изготовления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Акт составлен на основании Протокола типовых испытаний N ___ от "__" __________ 20__г.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  <w:tr w:rsidR="00DE472F" w:rsidTr="00DE472F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E472F" w:rsidRDefault="00DE472F">
            <w:pPr>
              <w:rPr>
                <w:sz w:val="24"/>
                <w:szCs w:val="24"/>
              </w:rPr>
            </w:pPr>
          </w:p>
        </w:tc>
      </w:tr>
    </w:tbl>
    <w:p w:rsidR="00DE472F" w:rsidRDefault="00DE472F" w:rsidP="00DE47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10A9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53011"/>
    <w:multiLevelType w:val="multilevel"/>
    <w:tmpl w:val="6A20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E65A8B"/>
    <w:multiLevelType w:val="multilevel"/>
    <w:tmpl w:val="A64E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3D66DF"/>
    <w:multiLevelType w:val="multilevel"/>
    <w:tmpl w:val="7CE4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7D29FA"/>
    <w:multiLevelType w:val="multilevel"/>
    <w:tmpl w:val="379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CA5769"/>
    <w:multiLevelType w:val="multilevel"/>
    <w:tmpl w:val="5090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608FE"/>
    <w:multiLevelType w:val="multilevel"/>
    <w:tmpl w:val="628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F97F1E"/>
    <w:multiLevelType w:val="multilevel"/>
    <w:tmpl w:val="088C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3045B4"/>
    <w:multiLevelType w:val="multilevel"/>
    <w:tmpl w:val="AD5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6"/>
  </w:num>
  <w:num w:numId="5">
    <w:abstractNumId w:val="28"/>
  </w:num>
  <w:num w:numId="6">
    <w:abstractNumId w:val="24"/>
  </w:num>
  <w:num w:numId="7">
    <w:abstractNumId w:val="23"/>
  </w:num>
  <w:num w:numId="8">
    <w:abstractNumId w:val="7"/>
  </w:num>
  <w:num w:numId="9">
    <w:abstractNumId w:val="33"/>
  </w:num>
  <w:num w:numId="10">
    <w:abstractNumId w:val="17"/>
  </w:num>
  <w:num w:numId="11">
    <w:abstractNumId w:val="18"/>
  </w:num>
  <w:num w:numId="12">
    <w:abstractNumId w:val="21"/>
  </w:num>
  <w:num w:numId="13">
    <w:abstractNumId w:val="31"/>
  </w:num>
  <w:num w:numId="14">
    <w:abstractNumId w:val="20"/>
  </w:num>
  <w:num w:numId="15">
    <w:abstractNumId w:val="5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11"/>
  </w:num>
  <w:num w:numId="23">
    <w:abstractNumId w:val="13"/>
  </w:num>
  <w:num w:numId="24">
    <w:abstractNumId w:val="16"/>
  </w:num>
  <w:num w:numId="25">
    <w:abstractNumId w:val="35"/>
  </w:num>
  <w:num w:numId="26">
    <w:abstractNumId w:val="26"/>
  </w:num>
  <w:num w:numId="27">
    <w:abstractNumId w:val="29"/>
  </w:num>
  <w:num w:numId="28">
    <w:abstractNumId w:val="8"/>
  </w:num>
  <w:num w:numId="29">
    <w:abstractNumId w:val="25"/>
  </w:num>
  <w:num w:numId="30">
    <w:abstractNumId w:val="37"/>
  </w:num>
  <w:num w:numId="31">
    <w:abstractNumId w:val="12"/>
  </w:num>
  <w:num w:numId="32">
    <w:abstractNumId w:val="10"/>
  </w:num>
  <w:num w:numId="33">
    <w:abstractNumId w:val="9"/>
  </w:num>
  <w:num w:numId="34">
    <w:abstractNumId w:val="4"/>
  </w:num>
  <w:num w:numId="35">
    <w:abstractNumId w:val="14"/>
  </w:num>
  <w:num w:numId="36">
    <w:abstractNumId w:val="19"/>
  </w:num>
  <w:num w:numId="37">
    <w:abstractNumId w:val="32"/>
  </w:num>
  <w:num w:numId="38">
    <w:abstractNumId w:val="15"/>
  </w:num>
  <w:num w:numId="39">
    <w:abstractNumId w:val="2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10A90"/>
    <w:rsid w:val="00C91654"/>
    <w:rsid w:val="00CE3CDF"/>
    <w:rsid w:val="00D445F4"/>
    <w:rsid w:val="00D637C8"/>
    <w:rsid w:val="00D71C2F"/>
    <w:rsid w:val="00DA4FBF"/>
    <w:rsid w:val="00DD1738"/>
    <w:rsid w:val="00DE472F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51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162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8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964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1604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139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49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55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72649112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2907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5221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127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26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6289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46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58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6600</Words>
  <Characters>37621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2017-10-25T15:45:00Z</dcterms:created>
  <dcterms:modified xsi:type="dcterms:W3CDTF">2017-10-25T15:45:00Z</dcterms:modified>
</cp:coreProperties>
</file>